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adjustRightInd w:val="0"/>
        <w:snapToGrid w:val="0"/>
        <w:spacing w:before="0" w:beforeAutospacing="0" w:after="0" w:afterAutospacing="0"/>
        <w:textAlignment w:val="baseline"/>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附件1：技术要求</w:t>
      </w:r>
    </w:p>
    <w:p>
      <w:pPr>
        <w:pStyle w:val="2"/>
        <w:widowControl/>
        <w:shd w:val="clear" w:color="auto" w:fill="FFFFFF"/>
        <w:adjustRightInd w:val="0"/>
        <w:snapToGrid w:val="0"/>
        <w:spacing w:before="0" w:beforeAutospacing="0" w:after="0" w:afterAutospacing="0"/>
        <w:ind w:right="-92" w:rightChars="-44"/>
        <w:textAlignment w:val="baseline"/>
        <w:rPr>
          <w:rFonts w:hint="eastAsia" w:ascii="宋体" w:hAnsi="宋体" w:cs="宋体"/>
          <w:b/>
          <w:color w:val="000000"/>
          <w:sz w:val="28"/>
          <w:szCs w:val="28"/>
          <w:shd w:val="clear" w:color="auto" w:fill="FFFFFF"/>
        </w:rPr>
      </w:pPr>
    </w:p>
    <w:p>
      <w:pPr>
        <w:keepNext/>
        <w:keepLines/>
        <w:numPr>
          <w:ilvl w:val="1"/>
          <w:numId w:val="0"/>
        </w:numPr>
        <w:adjustRightInd w:val="0"/>
        <w:snapToGrid w:val="0"/>
        <w:spacing w:line="360" w:lineRule="auto"/>
        <w:ind w:left="567" w:hanging="567"/>
        <w:outlineLvl w:val="1"/>
        <w:rPr>
          <w:rFonts w:hint="eastAsia" w:ascii="Times New Roman" w:hAnsi="Times New Roman"/>
          <w:b/>
          <w:bCs/>
          <w:sz w:val="24"/>
        </w:rPr>
      </w:pPr>
      <w:bookmarkStart w:id="0" w:name="_Toc464912724"/>
      <w:r>
        <w:rPr>
          <w:rFonts w:hint="eastAsia" w:ascii="Times New Roman" w:hAnsi="Times New Roman"/>
          <w:b/>
          <w:bCs/>
          <w:sz w:val="24"/>
        </w:rPr>
        <w:t>1、</w:t>
      </w:r>
      <w:r>
        <w:rPr>
          <w:rFonts w:ascii="Times New Roman" w:hAnsi="Times New Roman"/>
          <w:b/>
          <w:bCs/>
          <w:sz w:val="24"/>
        </w:rPr>
        <w:t>“两违”图斑内业比对</w:t>
      </w:r>
      <w:bookmarkEnd w:id="0"/>
      <w:bookmarkStart w:id="1" w:name="_Toc464912725"/>
    </w:p>
    <w:p>
      <w:pPr>
        <w:keepNext/>
        <w:keepLines/>
        <w:numPr>
          <w:ilvl w:val="1"/>
          <w:numId w:val="0"/>
        </w:numPr>
        <w:adjustRightInd w:val="0"/>
        <w:snapToGrid w:val="0"/>
        <w:spacing w:line="324" w:lineRule="auto"/>
        <w:ind w:left="567" w:hanging="567"/>
        <w:outlineLvl w:val="1"/>
        <w:rPr>
          <w:rFonts w:ascii="Times New Roman" w:hAnsi="Times New Roman"/>
          <w:b/>
          <w:bCs/>
          <w:sz w:val="24"/>
        </w:rPr>
      </w:pPr>
      <w:r>
        <w:rPr>
          <w:rFonts w:hint="eastAsia" w:ascii="Times New Roman" w:hAnsi="Times New Roman"/>
          <w:b/>
          <w:bCs/>
          <w:sz w:val="24"/>
        </w:rPr>
        <w:t>1.1</w:t>
      </w:r>
      <w:r>
        <w:rPr>
          <w:rFonts w:ascii="Times New Roman" w:hAnsi="Times New Roman"/>
          <w:b/>
          <w:bCs/>
          <w:sz w:val="24"/>
          <w:szCs w:val="21"/>
        </w:rPr>
        <w:t>作业目标</w:t>
      </w:r>
      <w:bookmarkEnd w:id="1"/>
    </w:p>
    <w:p>
      <w:pPr>
        <w:adjustRightInd w:val="0"/>
        <w:snapToGrid w:val="0"/>
        <w:spacing w:line="324" w:lineRule="auto"/>
        <w:ind w:firstLine="480" w:firstLineChars="200"/>
        <w:rPr>
          <w:rFonts w:ascii="Times New Roman" w:hAnsi="Times New Roman"/>
          <w:sz w:val="24"/>
        </w:rPr>
      </w:pPr>
      <w:r>
        <w:rPr>
          <w:rFonts w:ascii="Times New Roman" w:hAnsi="Times New Roman"/>
          <w:sz w:val="24"/>
        </w:rPr>
        <w:t>基于本次生产的202</w:t>
      </w:r>
      <w:r>
        <w:rPr>
          <w:rFonts w:hint="eastAsia" w:ascii="Times New Roman" w:hAnsi="Times New Roman"/>
          <w:sz w:val="24"/>
        </w:rPr>
        <w:t>2</w:t>
      </w:r>
      <w:r>
        <w:rPr>
          <w:rFonts w:ascii="Times New Roman" w:hAnsi="Times New Roman"/>
          <w:sz w:val="24"/>
        </w:rPr>
        <w:t>年度1:2000数字正射影像图，与上一年度（20</w:t>
      </w:r>
      <w:r>
        <w:rPr>
          <w:rFonts w:hint="eastAsia" w:ascii="Times New Roman" w:hAnsi="Times New Roman"/>
          <w:sz w:val="24"/>
        </w:rPr>
        <w:t>21</w:t>
      </w:r>
      <w:r>
        <w:rPr>
          <w:rFonts w:ascii="Times New Roman" w:hAnsi="Times New Roman"/>
          <w:sz w:val="24"/>
        </w:rPr>
        <w:t>年）的1:2000航空数字正射影像图进行比对，发现并圈出占地面积岛外超过20平方米、岛内超过10平方米的新增建设用地图斑，并与收集到的批建资料进行核实、分类统计、汇总等，获取本次甲方需求的图斑比对成果。</w:t>
      </w:r>
    </w:p>
    <w:p>
      <w:pPr>
        <w:keepNext/>
        <w:keepLines/>
        <w:numPr>
          <w:ilvl w:val="2"/>
          <w:numId w:val="0"/>
        </w:numPr>
        <w:adjustRightInd w:val="0"/>
        <w:snapToGrid w:val="0"/>
        <w:spacing w:before="120" w:after="120" w:line="324" w:lineRule="auto"/>
        <w:outlineLvl w:val="2"/>
        <w:rPr>
          <w:rFonts w:ascii="Times New Roman" w:hAnsi="Times New Roman"/>
          <w:b/>
          <w:bCs/>
          <w:sz w:val="24"/>
          <w:szCs w:val="21"/>
        </w:rPr>
      </w:pPr>
      <w:bookmarkStart w:id="2" w:name="_Toc464912726"/>
      <w:r>
        <w:rPr>
          <w:rFonts w:hint="eastAsia" w:ascii="Times New Roman" w:hAnsi="Times New Roman"/>
          <w:b/>
          <w:bCs/>
          <w:sz w:val="24"/>
          <w:szCs w:val="21"/>
        </w:rPr>
        <w:t>1.2</w:t>
      </w:r>
      <w:r>
        <w:rPr>
          <w:rFonts w:ascii="Times New Roman" w:hAnsi="Times New Roman"/>
          <w:b/>
          <w:bCs/>
          <w:sz w:val="24"/>
          <w:szCs w:val="21"/>
        </w:rPr>
        <w:t>作业方法及步骤</w:t>
      </w:r>
      <w:bookmarkEnd w:id="2"/>
    </w:p>
    <w:p>
      <w:pPr>
        <w:numPr>
          <w:ilvl w:val="0"/>
          <w:numId w:val="1"/>
        </w:numPr>
        <w:adjustRightInd w:val="0"/>
        <w:snapToGrid w:val="0"/>
        <w:spacing w:line="324" w:lineRule="auto"/>
        <w:ind w:firstLine="480"/>
        <w:jc w:val="left"/>
        <w:rPr>
          <w:rFonts w:ascii="Times New Roman" w:hAnsi="Times New Roman"/>
          <w:sz w:val="24"/>
        </w:rPr>
      </w:pPr>
      <w:r>
        <w:rPr>
          <w:rFonts w:ascii="Times New Roman" w:hAnsi="Times New Roman"/>
          <w:sz w:val="24"/>
        </w:rPr>
        <w:t>对比本年度1:2000数字正射影像和20</w:t>
      </w:r>
      <w:r>
        <w:rPr>
          <w:rFonts w:hint="eastAsia" w:ascii="Times New Roman" w:hAnsi="Times New Roman"/>
          <w:sz w:val="24"/>
        </w:rPr>
        <w:t>21</w:t>
      </w:r>
      <w:r>
        <w:rPr>
          <w:rFonts w:ascii="Times New Roman" w:hAnsi="Times New Roman"/>
          <w:sz w:val="24"/>
        </w:rPr>
        <w:t>年的1:2000航空数字正射影像数据进行变化监测处理，检测变化建设用地图斑。逐块逐片比对影像纹理，判读变化图斑，并逐一圈定。</w:t>
      </w:r>
    </w:p>
    <w:p>
      <w:pPr>
        <w:numPr>
          <w:ilvl w:val="0"/>
          <w:numId w:val="1"/>
        </w:numPr>
        <w:adjustRightInd w:val="0"/>
        <w:snapToGrid w:val="0"/>
        <w:spacing w:line="324" w:lineRule="auto"/>
        <w:ind w:firstLine="480"/>
        <w:jc w:val="left"/>
        <w:rPr>
          <w:rFonts w:ascii="Times New Roman" w:hAnsi="Times New Roman"/>
          <w:sz w:val="24"/>
        </w:rPr>
      </w:pPr>
      <w:r>
        <w:rPr>
          <w:rFonts w:ascii="Times New Roman" w:hAnsi="Times New Roman"/>
          <w:sz w:val="24"/>
        </w:rPr>
        <w:t>将圈定的图斑与甲方提供的批建资料进行核实，确定并区分出合法建设用地图斑和违章建设用地图斑。</w:t>
      </w:r>
    </w:p>
    <w:p>
      <w:pPr>
        <w:numPr>
          <w:ilvl w:val="0"/>
          <w:numId w:val="1"/>
        </w:numPr>
        <w:adjustRightInd w:val="0"/>
        <w:snapToGrid w:val="0"/>
        <w:spacing w:line="324" w:lineRule="auto"/>
        <w:ind w:firstLine="480"/>
        <w:jc w:val="left"/>
        <w:rPr>
          <w:rFonts w:ascii="Times New Roman" w:hAnsi="Times New Roman"/>
          <w:sz w:val="24"/>
        </w:rPr>
      </w:pPr>
      <w:r>
        <w:rPr>
          <w:rFonts w:ascii="Times New Roman" w:hAnsi="Times New Roman"/>
          <w:sz w:val="24"/>
        </w:rPr>
        <w:t>内业通过批建资料对所有变化图斑录入属性。</w:t>
      </w:r>
    </w:p>
    <w:p>
      <w:pPr>
        <w:numPr>
          <w:ilvl w:val="0"/>
          <w:numId w:val="1"/>
        </w:numPr>
        <w:adjustRightInd w:val="0"/>
        <w:snapToGrid w:val="0"/>
        <w:spacing w:line="324" w:lineRule="auto"/>
        <w:ind w:firstLine="480"/>
        <w:jc w:val="left"/>
        <w:rPr>
          <w:rFonts w:ascii="Times New Roman" w:hAnsi="Times New Roman"/>
          <w:sz w:val="24"/>
        </w:rPr>
      </w:pPr>
      <w:r>
        <w:rPr>
          <w:rFonts w:ascii="Times New Roman" w:hAnsi="Times New Roman"/>
          <w:sz w:val="24"/>
        </w:rPr>
        <w:t>对违章建设图斑按甲方的要求进行截图，制作违章图斑信息表。</w:t>
      </w:r>
    </w:p>
    <w:p>
      <w:pPr>
        <w:numPr>
          <w:ilvl w:val="0"/>
          <w:numId w:val="1"/>
        </w:numPr>
        <w:adjustRightInd w:val="0"/>
        <w:snapToGrid w:val="0"/>
        <w:spacing w:line="324" w:lineRule="auto"/>
        <w:ind w:firstLine="480"/>
        <w:jc w:val="left"/>
        <w:rPr>
          <w:rFonts w:ascii="Times New Roman" w:hAnsi="Times New Roman"/>
          <w:sz w:val="24"/>
        </w:rPr>
      </w:pPr>
      <w:r>
        <w:rPr>
          <w:rFonts w:ascii="Times New Roman" w:hAnsi="Times New Roman"/>
          <w:sz w:val="24"/>
        </w:rPr>
        <w:t>按镇级进行汇总，以Excel xls格式报表提交。</w:t>
      </w:r>
    </w:p>
    <w:p>
      <w:pPr>
        <w:keepNext/>
        <w:keepLines/>
        <w:numPr>
          <w:ilvl w:val="2"/>
          <w:numId w:val="0"/>
        </w:numPr>
        <w:adjustRightInd w:val="0"/>
        <w:snapToGrid w:val="0"/>
        <w:spacing w:before="120" w:after="120" w:line="324" w:lineRule="auto"/>
        <w:outlineLvl w:val="2"/>
        <w:rPr>
          <w:rFonts w:ascii="Times New Roman" w:hAnsi="Times New Roman"/>
          <w:b/>
          <w:bCs/>
          <w:sz w:val="24"/>
          <w:szCs w:val="21"/>
        </w:rPr>
      </w:pPr>
      <w:bookmarkStart w:id="3" w:name="_Toc464912727"/>
      <w:r>
        <w:rPr>
          <w:rFonts w:hint="eastAsia" w:ascii="Times New Roman" w:hAnsi="Times New Roman"/>
          <w:b/>
          <w:bCs/>
          <w:sz w:val="24"/>
          <w:szCs w:val="21"/>
        </w:rPr>
        <w:t>1.3</w:t>
      </w:r>
      <w:r>
        <w:rPr>
          <w:rFonts w:ascii="Times New Roman" w:hAnsi="Times New Roman"/>
          <w:b/>
          <w:bCs/>
          <w:sz w:val="24"/>
          <w:szCs w:val="21"/>
        </w:rPr>
        <w:t>技术要求</w:t>
      </w:r>
      <w:bookmarkEnd w:id="3"/>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需圈定的变化图斑为占地面积及建设面积岛内10平方米以上、岛外20平方米以上的新增图斑。</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变化图斑包括合法图斑和违章图斑。</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违章图斑认定：根据国土部门提供的历年批地红线图及农转用项目用地资料进行首轮筛查，初步认定为疑似图斑。</w:t>
      </w:r>
    </w:p>
    <w:p>
      <w:pPr>
        <w:numPr>
          <w:ilvl w:val="0"/>
          <w:numId w:val="2"/>
        </w:numPr>
        <w:adjustRightInd w:val="0"/>
        <w:snapToGrid w:val="0"/>
        <w:spacing w:line="324" w:lineRule="auto"/>
        <w:ind w:left="0" w:firstLine="420" w:firstLineChars="175"/>
        <w:jc w:val="left"/>
        <w:rPr>
          <w:rFonts w:ascii="Times New Roman" w:hAnsi="Times New Roman"/>
          <w:color w:val="000000"/>
          <w:sz w:val="24"/>
        </w:rPr>
      </w:pPr>
      <w:r>
        <w:rPr>
          <w:rFonts w:ascii="Times New Roman" w:hAnsi="Times New Roman"/>
          <w:color w:val="000000"/>
          <w:sz w:val="24"/>
        </w:rPr>
        <w:t>测区内的变化图斑应各自以街道或镇为独立单元按自西向东，从北到南的顺序进行统一连续编号，不得重复 。</w:t>
      </w:r>
      <w:r>
        <w:rPr>
          <w:rFonts w:hint="eastAsia" w:ascii="Times New Roman" w:hAnsi="Times New Roman"/>
          <w:color w:val="000000"/>
          <w:sz w:val="24"/>
        </w:rPr>
        <w:t>编号规则为：以街道或镇名行政区代码（取其完整</w:t>
      </w:r>
      <w:r>
        <w:rPr>
          <w:rFonts w:ascii="Times New Roman" w:hAnsi="Times New Roman"/>
          <w:color w:val="000000"/>
          <w:sz w:val="24"/>
        </w:rPr>
        <w:t xml:space="preserve">9 </w:t>
      </w:r>
      <w:r>
        <w:rPr>
          <w:rFonts w:hint="eastAsia" w:ascii="Times New Roman" w:hAnsi="Times New Roman"/>
          <w:color w:val="000000"/>
          <w:sz w:val="24"/>
        </w:rPr>
        <w:t>位数中的后</w:t>
      </w:r>
      <w:r>
        <w:rPr>
          <w:rFonts w:ascii="Times New Roman" w:hAnsi="Times New Roman"/>
          <w:color w:val="000000"/>
          <w:sz w:val="24"/>
        </w:rPr>
        <w:t xml:space="preserve">6 </w:t>
      </w:r>
      <w:r>
        <w:rPr>
          <w:rFonts w:hint="eastAsia" w:ascii="Times New Roman" w:hAnsi="Times New Roman"/>
          <w:color w:val="000000"/>
          <w:sz w:val="24"/>
        </w:rPr>
        <w:t>位）+2位年份数字（年份后2位）</w:t>
      </w:r>
      <w:r>
        <w:rPr>
          <w:rFonts w:ascii="Times New Roman" w:hAnsi="Times New Roman"/>
          <w:color w:val="000000"/>
          <w:sz w:val="24"/>
        </w:rPr>
        <w:t>+</w:t>
      </w:r>
      <w:r>
        <w:rPr>
          <w:rFonts w:hint="eastAsia" w:ascii="Times New Roman" w:hAnsi="Times New Roman"/>
          <w:color w:val="000000"/>
          <w:sz w:val="24"/>
        </w:rPr>
        <w:t>4位数字顺序号，如新店镇完整的行政区代码为“</w:t>
      </w:r>
      <w:r>
        <w:rPr>
          <w:rFonts w:ascii="Times New Roman" w:hAnsi="Times New Roman"/>
          <w:color w:val="000000"/>
          <w:sz w:val="24"/>
        </w:rPr>
        <w:t>350213104</w:t>
      </w:r>
      <w:r>
        <w:rPr>
          <w:rFonts w:hint="eastAsia" w:ascii="Times New Roman" w:hAnsi="Times New Roman"/>
          <w:color w:val="000000"/>
          <w:sz w:val="24"/>
        </w:rPr>
        <w:t>”，后</w:t>
      </w:r>
      <w:r>
        <w:rPr>
          <w:rFonts w:ascii="Times New Roman" w:hAnsi="Times New Roman"/>
          <w:color w:val="000000"/>
          <w:sz w:val="24"/>
        </w:rPr>
        <w:t xml:space="preserve">6 </w:t>
      </w:r>
      <w:r>
        <w:rPr>
          <w:rFonts w:hint="eastAsia" w:ascii="Times New Roman" w:hAnsi="Times New Roman"/>
          <w:color w:val="000000"/>
          <w:sz w:val="24"/>
        </w:rPr>
        <w:t>位为“</w:t>
      </w:r>
      <w:r>
        <w:rPr>
          <w:rFonts w:ascii="Times New Roman" w:hAnsi="Times New Roman"/>
          <w:color w:val="000000"/>
          <w:sz w:val="24"/>
        </w:rPr>
        <w:t>213104</w:t>
      </w:r>
      <w:r>
        <w:rPr>
          <w:rFonts w:hint="eastAsia" w:ascii="Times New Roman" w:hAnsi="Times New Roman"/>
          <w:color w:val="000000"/>
          <w:sz w:val="24"/>
        </w:rPr>
        <w:t>”，则其镇内2021年第</w:t>
      </w:r>
      <w:r>
        <w:rPr>
          <w:rFonts w:ascii="Times New Roman" w:hAnsi="Times New Roman"/>
          <w:color w:val="000000"/>
          <w:sz w:val="24"/>
        </w:rPr>
        <w:t>7</w:t>
      </w:r>
      <w:r>
        <w:rPr>
          <w:rFonts w:hint="eastAsia" w:ascii="Times New Roman" w:hAnsi="Times New Roman"/>
          <w:color w:val="000000"/>
          <w:sz w:val="24"/>
        </w:rPr>
        <w:t>号变化图斑编号为“</w:t>
      </w:r>
      <w:r>
        <w:rPr>
          <w:rFonts w:ascii="Times New Roman" w:hAnsi="Times New Roman"/>
          <w:color w:val="000000"/>
          <w:sz w:val="24"/>
        </w:rPr>
        <w:t>213104</w:t>
      </w:r>
      <w:r>
        <w:rPr>
          <w:rFonts w:hint="eastAsia" w:ascii="Times New Roman" w:hAnsi="Times New Roman"/>
          <w:color w:val="000000"/>
          <w:sz w:val="24"/>
        </w:rPr>
        <w:t>21</w:t>
      </w:r>
      <w:r>
        <w:rPr>
          <w:rFonts w:ascii="Times New Roman" w:hAnsi="Times New Roman"/>
          <w:color w:val="000000"/>
          <w:sz w:val="24"/>
        </w:rPr>
        <w:t>0007</w:t>
      </w:r>
      <w:r>
        <w:rPr>
          <w:rFonts w:hint="eastAsia" w:ascii="Times New Roman" w:hAnsi="Times New Roman"/>
          <w:color w:val="000000"/>
          <w:sz w:val="24"/>
        </w:rPr>
        <w:t>”</w:t>
      </w:r>
      <w:r>
        <w:rPr>
          <w:rFonts w:ascii="Times New Roman" w:hAnsi="Times New Roman"/>
          <w:color w:val="000000"/>
          <w:sz w:val="24"/>
        </w:rPr>
        <w:t>。</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变化图斑属性项及数据结构如下：</w:t>
      </w:r>
    </w:p>
    <w:tbl>
      <w:tblPr>
        <w:tblStyle w:val="3"/>
        <w:tblW w:w="827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26"/>
        <w:gridCol w:w="1560"/>
        <w:gridCol w:w="1134"/>
        <w:gridCol w:w="1134"/>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right"/>
        </w:trPr>
        <w:tc>
          <w:tcPr>
            <w:tcW w:w="709"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序号</w:t>
            </w:r>
          </w:p>
        </w:tc>
        <w:tc>
          <w:tcPr>
            <w:tcW w:w="2226"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字段描述</w:t>
            </w:r>
          </w:p>
        </w:tc>
        <w:tc>
          <w:tcPr>
            <w:tcW w:w="1560"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字段代码</w:t>
            </w:r>
          </w:p>
        </w:tc>
        <w:tc>
          <w:tcPr>
            <w:tcW w:w="1134"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字段类型</w:t>
            </w:r>
          </w:p>
        </w:tc>
        <w:tc>
          <w:tcPr>
            <w:tcW w:w="1134"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字段格式</w:t>
            </w:r>
          </w:p>
        </w:tc>
        <w:tc>
          <w:tcPr>
            <w:tcW w:w="1509" w:type="dxa"/>
            <w:shd w:val="clear" w:color="auto" w:fill="D9D9D9"/>
            <w:noWrap w:val="0"/>
            <w:vAlign w:val="center"/>
          </w:tcPr>
          <w:p>
            <w:pPr>
              <w:adjustRightInd w:val="0"/>
              <w:snapToGrid w:val="0"/>
              <w:spacing w:line="324" w:lineRule="auto"/>
              <w:jc w:val="center"/>
              <w:rPr>
                <w:rFonts w:ascii="Times New Roman" w:hAnsi="Times New Roman"/>
                <w:b/>
                <w:szCs w:val="21"/>
              </w:rPr>
            </w:pPr>
            <w:r>
              <w:rPr>
                <w:rFonts w:ascii="Times New Roman" w:hAnsi="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图斑编号</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TBBH</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11C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2</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图斑坐落行政区名称</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TBZLXZQMC</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20C</w:t>
            </w:r>
          </w:p>
        </w:tc>
        <w:tc>
          <w:tcPr>
            <w:tcW w:w="15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填写至行政村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3</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图斑坐落行政区代码</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TBZLXZQDM</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12C</w:t>
            </w:r>
          </w:p>
        </w:tc>
        <w:tc>
          <w:tcPr>
            <w:tcW w:w="15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填写至行政村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4</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图斑中心点坐标X</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TBZXDZBX</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5</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图斑中心点坐标Y</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TBZXDZBY</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6</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图斑面积</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XZJSYDTBMJ</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7</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批建资料名称及编号</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PJWJH</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变长文本</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VCHAR</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8</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图斑违法性认定</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TBWFXRD</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9</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图斑违章性质</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TBWZXZ</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变长文本</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VCHAR</w:t>
            </w:r>
          </w:p>
        </w:tc>
        <w:tc>
          <w:tcPr>
            <w:tcW w:w="15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本次作业留空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10</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原地类</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YDL</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16C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11</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现地类</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XDL</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16C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13</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建设状态</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JSZT</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8C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14</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建筑占地</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JZZD</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15</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层数</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CS</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2C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16</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建筑面积</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JZMJ</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双精度</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12.2F</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17</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所在图幅号</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SZTFH</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6C</w:t>
            </w:r>
          </w:p>
        </w:tc>
        <w:tc>
          <w:tcPr>
            <w:tcW w:w="1509" w:type="dxa"/>
            <w:noWrap w:val="0"/>
            <w:vAlign w:val="center"/>
          </w:tcPr>
          <w:p>
            <w:pPr>
              <w:adjustRightInd w:val="0"/>
              <w:snapToGrid w:val="0"/>
              <w:spacing w:line="324"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18</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比对日期</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ZYRQ</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6C</w:t>
            </w:r>
          </w:p>
        </w:tc>
        <w:tc>
          <w:tcPr>
            <w:tcW w:w="15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填写至月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709"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19</w:t>
            </w:r>
          </w:p>
        </w:tc>
        <w:tc>
          <w:tcPr>
            <w:tcW w:w="2226"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比对人员</w:t>
            </w:r>
          </w:p>
        </w:tc>
        <w:tc>
          <w:tcPr>
            <w:tcW w:w="1560"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ZYRY</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字符型</w:t>
            </w:r>
          </w:p>
        </w:tc>
        <w:tc>
          <w:tcPr>
            <w:tcW w:w="1134" w:type="dxa"/>
            <w:noWrap w:val="0"/>
            <w:vAlign w:val="center"/>
          </w:tcPr>
          <w:p>
            <w:pPr>
              <w:adjustRightInd w:val="0"/>
              <w:snapToGrid w:val="0"/>
              <w:spacing w:line="324" w:lineRule="auto"/>
              <w:jc w:val="center"/>
              <w:rPr>
                <w:rFonts w:ascii="Times New Roman" w:hAnsi="Times New Roman"/>
                <w:szCs w:val="21"/>
              </w:rPr>
            </w:pPr>
            <w:r>
              <w:rPr>
                <w:rFonts w:ascii="Times New Roman" w:hAnsi="Times New Roman"/>
                <w:szCs w:val="21"/>
              </w:rPr>
              <w:t>6C</w:t>
            </w:r>
          </w:p>
        </w:tc>
        <w:tc>
          <w:tcPr>
            <w:tcW w:w="1509" w:type="dxa"/>
            <w:noWrap w:val="0"/>
            <w:vAlign w:val="center"/>
          </w:tcPr>
          <w:p>
            <w:pPr>
              <w:adjustRightInd w:val="0"/>
              <w:snapToGrid w:val="0"/>
              <w:spacing w:line="324" w:lineRule="auto"/>
              <w:jc w:val="center"/>
              <w:rPr>
                <w:rFonts w:ascii="Times New Roman" w:hAnsi="Times New Roman"/>
                <w:szCs w:val="21"/>
              </w:rPr>
            </w:pPr>
          </w:p>
        </w:tc>
      </w:tr>
    </w:tbl>
    <w:p>
      <w:pPr>
        <w:adjustRightInd w:val="0"/>
        <w:snapToGrid w:val="0"/>
        <w:spacing w:line="324" w:lineRule="auto"/>
        <w:jc w:val="left"/>
        <w:rPr>
          <w:rFonts w:hint="eastAsia" w:ascii="Times New Roman" w:hAnsi="Times New Roman"/>
          <w:sz w:val="24"/>
        </w:rPr>
      </w:pPr>
    </w:p>
    <w:p>
      <w:pPr>
        <w:numPr>
          <w:ilvl w:val="0"/>
          <w:numId w:val="2"/>
        </w:numPr>
        <w:adjustRightInd w:val="0"/>
        <w:snapToGrid w:val="0"/>
        <w:spacing w:line="324" w:lineRule="auto"/>
        <w:ind w:firstLine="480" w:firstLineChars="200"/>
        <w:rPr>
          <w:rFonts w:ascii="Times New Roman" w:hAnsi="Times New Roman"/>
          <w:sz w:val="24"/>
        </w:rPr>
      </w:pPr>
      <w:r>
        <w:rPr>
          <w:rFonts w:ascii="Times New Roman" w:hAnsi="Times New Roman"/>
          <w:sz w:val="24"/>
        </w:rPr>
        <w:t>变化图斑的属性录入要求</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“批建资料名称及编号”按批建资料录入，违章图斑该属性填“无”。</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“图斑违法性认定”属性根据批建资料或市执法局的反馈进行认定并录入。</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“图斑违章性质”属性按“非法占地”、“违法建设”分别录入。</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“原地类”按业主方20</w:t>
      </w:r>
      <w:r>
        <w:rPr>
          <w:rFonts w:hint="eastAsia" w:ascii="Times New Roman" w:hAnsi="Times New Roman"/>
          <w:sz w:val="24"/>
        </w:rPr>
        <w:t>21</w:t>
      </w:r>
      <w:r>
        <w:rPr>
          <w:rFonts w:ascii="Times New Roman" w:hAnsi="Times New Roman"/>
          <w:sz w:val="24"/>
        </w:rPr>
        <w:t>年1:2000影像判定，“现地类”按前期作业刚刚生产的202</w:t>
      </w:r>
      <w:r>
        <w:rPr>
          <w:rFonts w:hint="eastAsia" w:ascii="Times New Roman" w:hAnsi="Times New Roman"/>
          <w:sz w:val="24"/>
        </w:rPr>
        <w:t>2</w:t>
      </w:r>
      <w:r>
        <w:rPr>
          <w:rFonts w:ascii="Times New Roman" w:hAnsi="Times New Roman"/>
          <w:sz w:val="24"/>
        </w:rPr>
        <w:t>年1:2000影像判定。地类分类标准按《土地利用现状分类》。</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“建设状态”属性根据影像现状区分“地面开挖”、“浇筑基底”、“正在建设”和“建设完工”四种情况进行录入。</w:t>
      </w:r>
    </w:p>
    <w:p>
      <w:pPr>
        <w:numPr>
          <w:ilvl w:val="1"/>
          <w:numId w:val="3"/>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“建筑占地”、“层数”和“建筑面积”属性以影像及立体模型为准进行圈定、判读，然后计算录入。建筑占地面积与图斑面积不一定相等，当不等时，作业应注意将建筑占地另外圈出，以便准确计算录入。</w:t>
      </w:r>
    </w:p>
    <w:p>
      <w:pPr>
        <w:numPr>
          <w:ilvl w:val="1"/>
          <w:numId w:val="3"/>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“所在图幅号”属性录入图斑对应所在的1:2000图幅号；当图斑跨图幅时，以该图斑最大面积部分所在图幅的图幅号为准录入。</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违章图斑还应按附录“违章图斑信息表”（该表由业主提供，如业主需求有变化时，以业主提供的最新版为准，但应在技术总结中说明）的要求制作Excel格式的信息表。“违章图斑信息表”中的违章图斑号按变化图斑编号进行填注，图斑截图在表中的尺寸应缩为15cm×9cm左右（截图原始尺寸可为与15cm×9cm接近等比的尺寸）。“违章图斑信息表”按镇级分类汇总，置于各镇目录下。</w:t>
      </w:r>
    </w:p>
    <w:p>
      <w:pPr>
        <w:numPr>
          <w:ilvl w:val="0"/>
          <w:numId w:val="2"/>
        </w:numPr>
        <w:adjustRightInd w:val="0"/>
        <w:snapToGrid w:val="0"/>
        <w:spacing w:line="324" w:lineRule="auto"/>
        <w:ind w:left="0" w:right="-92" w:rightChars="-44" w:firstLine="420" w:firstLineChars="175"/>
        <w:jc w:val="left"/>
        <w:rPr>
          <w:rFonts w:ascii="Times New Roman" w:hAnsi="Times New Roman"/>
          <w:sz w:val="24"/>
        </w:rPr>
      </w:pPr>
      <w:r>
        <w:rPr>
          <w:rFonts w:ascii="Times New Roman" w:hAnsi="Times New Roman"/>
          <w:sz w:val="24"/>
        </w:rPr>
        <w:t>内业尽量做到逐楼逐户判定，老居民区部分房屋连成片无法分割时，方可综合。为使图斑比对能够全面覆盖，比对时宜按公里格网逐个排查，以免遗漏。</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当影像有云影覆盖、高楼遮挡等情形，导致该处区域无法确认是否有新增建设用地图斑时，可不对该区域进行图斑比对。</w:t>
      </w:r>
    </w:p>
    <w:p>
      <w:pPr>
        <w:numPr>
          <w:ilvl w:val="0"/>
          <w:numId w:val="2"/>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以镇为单位将每个镇的图斑属性导出为Excel表，置于各镇目录下，按镇级分类汇总，形成汇总Excel报表，交由业主方统计。</w:t>
      </w:r>
    </w:p>
    <w:p>
      <w:pPr>
        <w:keepNext/>
        <w:keepLines/>
        <w:numPr>
          <w:ilvl w:val="1"/>
          <w:numId w:val="0"/>
        </w:numPr>
        <w:adjustRightInd w:val="0"/>
        <w:snapToGrid w:val="0"/>
        <w:spacing w:line="324" w:lineRule="auto"/>
        <w:ind w:left="567" w:hanging="567"/>
        <w:outlineLvl w:val="1"/>
        <w:rPr>
          <w:rFonts w:hint="eastAsia" w:ascii="Times New Roman" w:hAnsi="Times New Roman"/>
          <w:b/>
          <w:bCs/>
          <w:sz w:val="24"/>
        </w:rPr>
      </w:pPr>
      <w:bookmarkStart w:id="4" w:name="_Toc464912728"/>
      <w:r>
        <w:rPr>
          <w:rFonts w:hint="eastAsia" w:ascii="Times New Roman" w:hAnsi="Times New Roman"/>
          <w:b/>
          <w:bCs/>
          <w:sz w:val="24"/>
        </w:rPr>
        <w:t>2、</w:t>
      </w:r>
      <w:r>
        <w:rPr>
          <w:rFonts w:ascii="Times New Roman" w:hAnsi="Times New Roman"/>
          <w:b/>
          <w:bCs/>
          <w:sz w:val="24"/>
        </w:rPr>
        <w:t>外业核实</w:t>
      </w:r>
      <w:bookmarkEnd w:id="4"/>
      <w:bookmarkStart w:id="5" w:name="_Toc464912729"/>
    </w:p>
    <w:p>
      <w:pPr>
        <w:keepNext/>
        <w:keepLines/>
        <w:numPr>
          <w:ilvl w:val="1"/>
          <w:numId w:val="0"/>
        </w:numPr>
        <w:adjustRightInd w:val="0"/>
        <w:snapToGrid w:val="0"/>
        <w:spacing w:line="324" w:lineRule="auto"/>
        <w:ind w:left="567" w:hanging="567"/>
        <w:outlineLvl w:val="1"/>
        <w:rPr>
          <w:rFonts w:ascii="Times New Roman" w:hAnsi="Times New Roman"/>
          <w:b/>
          <w:bCs/>
          <w:sz w:val="24"/>
        </w:rPr>
      </w:pPr>
      <w:r>
        <w:rPr>
          <w:rFonts w:hint="eastAsia" w:ascii="Times New Roman" w:hAnsi="Times New Roman"/>
          <w:b/>
          <w:bCs/>
          <w:sz w:val="24"/>
        </w:rPr>
        <w:t>2.1</w:t>
      </w:r>
      <w:r>
        <w:rPr>
          <w:rFonts w:ascii="Times New Roman" w:hAnsi="Times New Roman"/>
          <w:b/>
          <w:bCs/>
          <w:sz w:val="24"/>
          <w:szCs w:val="21"/>
        </w:rPr>
        <w:t>作业目标</w:t>
      </w:r>
      <w:bookmarkEnd w:id="5"/>
    </w:p>
    <w:p>
      <w:pPr>
        <w:adjustRightInd w:val="0"/>
        <w:snapToGrid w:val="0"/>
        <w:spacing w:line="324" w:lineRule="auto"/>
        <w:ind w:firstLine="480" w:firstLineChars="200"/>
        <w:rPr>
          <w:rFonts w:ascii="Times New Roman" w:hAnsi="Times New Roman"/>
          <w:sz w:val="24"/>
        </w:rPr>
      </w:pPr>
      <w:r>
        <w:rPr>
          <w:rFonts w:ascii="Times New Roman" w:hAnsi="Times New Roman"/>
          <w:sz w:val="24"/>
        </w:rPr>
        <w:t>对图斑比对阶段根据审批材料筛查出的违法占地与违法建设图斑进行外业核实。</w:t>
      </w:r>
    </w:p>
    <w:p>
      <w:pPr>
        <w:keepNext/>
        <w:keepLines/>
        <w:numPr>
          <w:ilvl w:val="2"/>
          <w:numId w:val="0"/>
        </w:numPr>
        <w:adjustRightInd w:val="0"/>
        <w:snapToGrid w:val="0"/>
        <w:spacing w:before="120" w:after="120" w:line="324" w:lineRule="auto"/>
        <w:outlineLvl w:val="2"/>
        <w:rPr>
          <w:rFonts w:ascii="Times New Roman" w:hAnsi="Times New Roman"/>
          <w:b/>
          <w:bCs/>
          <w:sz w:val="24"/>
          <w:szCs w:val="21"/>
        </w:rPr>
      </w:pPr>
      <w:bookmarkStart w:id="6" w:name="_Toc464912730"/>
      <w:r>
        <w:rPr>
          <w:rFonts w:hint="eastAsia" w:ascii="Times New Roman" w:hAnsi="Times New Roman"/>
          <w:b/>
          <w:bCs/>
          <w:sz w:val="24"/>
          <w:szCs w:val="21"/>
        </w:rPr>
        <w:t>2.2</w:t>
      </w:r>
      <w:r>
        <w:rPr>
          <w:rFonts w:ascii="Times New Roman" w:hAnsi="Times New Roman"/>
          <w:b/>
          <w:bCs/>
          <w:sz w:val="24"/>
          <w:szCs w:val="21"/>
        </w:rPr>
        <w:t>作业方法及步骤</w:t>
      </w:r>
      <w:bookmarkEnd w:id="6"/>
    </w:p>
    <w:p>
      <w:pPr>
        <w:numPr>
          <w:ilvl w:val="0"/>
          <w:numId w:val="4"/>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收集内业图斑比对阶段筛查出的违章图斑资料。</w:t>
      </w:r>
    </w:p>
    <w:p>
      <w:pPr>
        <w:numPr>
          <w:ilvl w:val="0"/>
          <w:numId w:val="4"/>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确定图斑位置，设计巡查路线。</w:t>
      </w:r>
    </w:p>
    <w:p>
      <w:pPr>
        <w:numPr>
          <w:ilvl w:val="0"/>
          <w:numId w:val="4"/>
        </w:numPr>
        <w:adjustRightInd w:val="0"/>
        <w:snapToGrid w:val="0"/>
        <w:spacing w:line="324" w:lineRule="auto"/>
        <w:ind w:left="0" w:firstLine="420" w:firstLineChars="175"/>
        <w:rPr>
          <w:rFonts w:ascii="Times New Roman" w:hAnsi="Times New Roman"/>
          <w:sz w:val="24"/>
        </w:rPr>
      </w:pPr>
      <w:r>
        <w:rPr>
          <w:rFonts w:ascii="Times New Roman" w:hAnsi="Times New Roman"/>
          <w:sz w:val="24"/>
        </w:rPr>
        <w:t>外业实地巡查，对违建进行量测尺寸和拍照取证。</w:t>
      </w:r>
    </w:p>
    <w:p>
      <w:pPr>
        <w:numPr>
          <w:ilvl w:val="0"/>
          <w:numId w:val="4"/>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对巡查情况进行记录。</w:t>
      </w:r>
    </w:p>
    <w:p>
      <w:pPr>
        <w:numPr>
          <w:ilvl w:val="0"/>
          <w:numId w:val="4"/>
        </w:numPr>
        <w:adjustRightInd w:val="0"/>
        <w:snapToGrid w:val="0"/>
        <w:spacing w:line="324" w:lineRule="auto"/>
        <w:ind w:left="0" w:firstLine="420" w:firstLineChars="175"/>
        <w:jc w:val="left"/>
        <w:rPr>
          <w:rFonts w:ascii="Times New Roman" w:hAnsi="Times New Roman"/>
          <w:sz w:val="24"/>
        </w:rPr>
      </w:pPr>
      <w:r>
        <w:rPr>
          <w:rFonts w:ascii="Times New Roman" w:hAnsi="Times New Roman"/>
          <w:sz w:val="24"/>
        </w:rPr>
        <w:t>成果资料整理。</w:t>
      </w:r>
    </w:p>
    <w:p>
      <w:pPr>
        <w:keepNext/>
        <w:keepLines/>
        <w:numPr>
          <w:ilvl w:val="2"/>
          <w:numId w:val="0"/>
        </w:numPr>
        <w:adjustRightInd w:val="0"/>
        <w:snapToGrid w:val="0"/>
        <w:spacing w:before="120" w:after="120" w:line="324" w:lineRule="auto"/>
        <w:outlineLvl w:val="2"/>
        <w:rPr>
          <w:rFonts w:ascii="Times New Roman" w:hAnsi="Times New Roman"/>
          <w:b/>
          <w:bCs/>
          <w:sz w:val="24"/>
          <w:szCs w:val="21"/>
        </w:rPr>
      </w:pPr>
      <w:bookmarkStart w:id="7" w:name="_Toc464912731"/>
      <w:r>
        <w:rPr>
          <w:rFonts w:hint="eastAsia" w:ascii="Times New Roman" w:hAnsi="Times New Roman"/>
          <w:b/>
          <w:bCs/>
          <w:sz w:val="24"/>
          <w:szCs w:val="21"/>
        </w:rPr>
        <w:t>2.3</w:t>
      </w:r>
      <w:r>
        <w:rPr>
          <w:rFonts w:ascii="Times New Roman" w:hAnsi="Times New Roman"/>
          <w:b/>
          <w:bCs/>
          <w:sz w:val="24"/>
          <w:szCs w:val="21"/>
        </w:rPr>
        <w:t>筛选合法图斑正面清单</w:t>
      </w:r>
      <w:bookmarkEnd w:id="7"/>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农田或山地中的临时性的简易房屋（如竹子加石棉瓦等砖木等级以下结构），面积小于50平方米。</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已批建工地内或临近的活动房屋，明显作为施工人员临时生活的场所。</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村庄规划建设用地内的用于公共使用的建构筑物设施（如球场、戏台、停车棚等）。</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大型商业广场内（如SM）的临时性的简易房屋。</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已有的批件资料与实地相符合的建、构筑物。</w:t>
      </w:r>
    </w:p>
    <w:p>
      <w:pPr>
        <w:numPr>
          <w:ilvl w:val="0"/>
          <w:numId w:val="5"/>
        </w:numPr>
        <w:adjustRightInd w:val="0"/>
        <w:snapToGrid w:val="0"/>
        <w:spacing w:line="324" w:lineRule="auto"/>
        <w:ind w:left="210" w:firstLine="420"/>
        <w:jc w:val="left"/>
        <w:rPr>
          <w:rFonts w:ascii="Times New Roman" w:hAnsi="Times New Roman"/>
          <w:sz w:val="24"/>
        </w:rPr>
      </w:pPr>
      <w:r>
        <w:rPr>
          <w:rFonts w:ascii="Times New Roman" w:hAnsi="Times New Roman"/>
          <w:sz w:val="24"/>
        </w:rPr>
        <w:t>采矿区域内或临近的棚屋，明显作为采矿人员临时生活的场所。</w:t>
      </w:r>
    </w:p>
    <w:p>
      <w:pPr>
        <w:numPr>
          <w:ilvl w:val="0"/>
          <w:numId w:val="5"/>
        </w:numPr>
        <w:adjustRightInd w:val="0"/>
        <w:snapToGrid w:val="0"/>
        <w:spacing w:line="324" w:lineRule="auto"/>
        <w:ind w:left="210" w:firstLine="420"/>
        <w:jc w:val="left"/>
        <w:rPr>
          <w:rFonts w:hint="eastAsia" w:ascii="宋体" w:hAnsi="宋体" w:cs="宋体"/>
          <w:sz w:val="22"/>
          <w:szCs w:val="22"/>
          <w:shd w:val="clear" w:color="auto" w:fill="FFFFFF"/>
        </w:rPr>
      </w:pPr>
      <w:r>
        <w:rPr>
          <w:rFonts w:ascii="Times New Roman" w:hAnsi="Times New Roman"/>
          <w:sz w:val="24"/>
        </w:rPr>
        <w:t>大规模养殖场内的牲口棚。</w:t>
      </w:r>
    </w:p>
    <w:p>
      <w:bookmarkStart w:id="8" w:name="_GoBack"/>
      <w:bookmarkEnd w:id="8"/>
    </w:p>
    <w:sectPr>
      <w:pgSz w:w="11906" w:h="16838"/>
      <w:pgMar w:top="1383" w:right="1689" w:bottom="1383"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93E4B"/>
    <w:multiLevelType w:val="multilevel"/>
    <w:tmpl w:val="01B93E4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57D3BDF"/>
    <w:multiLevelType w:val="multilevel"/>
    <w:tmpl w:val="357D3BDF"/>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33850DE"/>
    <w:multiLevelType w:val="multilevel"/>
    <w:tmpl w:val="533850DE"/>
    <w:lvl w:ilvl="0" w:tentative="0">
      <w:start w:val="1"/>
      <w:numFmt w:val="decimal"/>
      <w:suff w:val="nothing"/>
      <w:lvlText w:val="（%1）"/>
      <w:lvlJc w:val="left"/>
      <w:pPr>
        <w:ind w:left="-60" w:hanging="420"/>
      </w:pPr>
      <w:rPr>
        <w:rFonts w:hint="eastAsia"/>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abstractNum w:abstractNumId="3">
    <w:nsid w:val="573013D7"/>
    <w:multiLevelType w:val="multilevel"/>
    <w:tmpl w:val="573013D7"/>
    <w:lvl w:ilvl="0" w:tentative="0">
      <w:start w:val="1"/>
      <w:numFmt w:val="decimal"/>
      <w:suff w:val="nothing"/>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B063DA2"/>
    <w:multiLevelType w:val="multilevel"/>
    <w:tmpl w:val="5B063DA2"/>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ZTUwOGU1Nzk4YjY5MzQxZWZkNjIxZmQwYTZkYTgifQ=="/>
  </w:docVars>
  <w:rsids>
    <w:rsidRoot w:val="15AC26E4"/>
    <w:rsid w:val="15AC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2023-01-04T07:43:00Z</dcterms:created>
  <dc:creator>许业辉</dc:creator>
  <cp:lastModifiedBy>许业辉</cp:lastModifiedBy>
  <dcterms:modified xsi:type="dcterms:W3CDTF">2023-01-04T07:43:50Z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05250BBDE50542C2848865B968ECE1B1</vt:lpwstr>
  </property>
</Properties>
</file>