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adjustRightInd w:val="0"/>
        <w:snapToGrid w:val="0"/>
        <w:spacing w:before="0" w:beforeAutospacing="0" w:after="0" w:afterAutospacing="0"/>
        <w:textAlignment w:val="baseline"/>
        <w:rPr>
          <w:rFonts w:hint="eastAsia"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附件1：技术要求</w:t>
      </w:r>
    </w:p>
    <w:p>
      <w:pPr>
        <w:pStyle w:val="2"/>
        <w:widowControl/>
        <w:shd w:val="clear" w:color="auto" w:fill="FFFFFF"/>
        <w:adjustRightInd w:val="0"/>
        <w:snapToGrid w:val="0"/>
        <w:spacing w:before="0" w:beforeAutospacing="0" w:after="0" w:afterAutospacing="0"/>
        <w:ind w:right="-92" w:rightChars="-44"/>
        <w:textAlignment w:val="baseline"/>
        <w:rPr>
          <w:rFonts w:hint="eastAsia" w:ascii="宋体" w:hAnsi="宋体" w:cs="宋体"/>
          <w:b/>
          <w:color w:val="000000"/>
          <w:sz w:val="28"/>
          <w:szCs w:val="28"/>
          <w:shd w:val="clear" w:color="auto" w:fill="FFFFFF"/>
        </w:rPr>
      </w:pPr>
    </w:p>
    <w:p>
      <w:pPr>
        <w:pStyle w:val="2"/>
        <w:widowControl/>
        <w:shd w:val="clear" w:color="auto" w:fill="FFFFFF"/>
        <w:adjustRightInd w:val="0"/>
        <w:snapToGrid w:val="0"/>
        <w:spacing w:before="0" w:beforeAutospacing="0" w:after="0" w:afterAutospacing="0"/>
        <w:ind w:right="-92" w:rightChars="-44"/>
        <w:textAlignment w:val="baseline"/>
        <w:rPr>
          <w:rFonts w:hint="eastAsia" w:ascii="宋体" w:hAnsi="宋体" w:cs="宋体"/>
          <w:b/>
          <w:color w:val="000000"/>
          <w:sz w:val="28"/>
          <w:szCs w:val="28"/>
          <w:shd w:val="clear" w:color="auto" w:fill="FFFFFF"/>
        </w:rPr>
      </w:pPr>
    </w:p>
    <w:p>
      <w:pPr>
        <w:keepNext/>
        <w:keepLines/>
        <w:numPr>
          <w:ilvl w:val="1"/>
          <w:numId w:val="0"/>
        </w:numPr>
        <w:adjustRightInd w:val="0"/>
        <w:snapToGrid w:val="0"/>
        <w:spacing w:line="360" w:lineRule="auto"/>
        <w:ind w:left="567" w:hanging="567"/>
        <w:outlineLvl w:val="1"/>
        <w:rPr>
          <w:rFonts w:hint="eastAsia" w:ascii="Times New Roman" w:hAnsi="Times New Roman"/>
          <w:b/>
          <w:bCs/>
          <w:sz w:val="24"/>
        </w:rPr>
      </w:pPr>
      <w:bookmarkStart w:id="0" w:name="_Toc464912724"/>
      <w:r>
        <w:rPr>
          <w:rFonts w:hint="eastAsia" w:ascii="Times New Roman" w:hAnsi="Times New Roman"/>
          <w:b/>
          <w:bCs/>
          <w:sz w:val="24"/>
        </w:rPr>
        <w:t>1、</w:t>
      </w:r>
      <w:r>
        <w:rPr>
          <w:rFonts w:ascii="Times New Roman" w:hAnsi="Times New Roman"/>
          <w:b/>
          <w:bCs/>
          <w:sz w:val="24"/>
        </w:rPr>
        <w:t>“两违”图斑内业比对</w:t>
      </w:r>
      <w:bookmarkEnd w:id="0"/>
      <w:bookmarkStart w:id="1" w:name="_Toc464912725"/>
    </w:p>
    <w:p>
      <w:pPr>
        <w:keepNext/>
        <w:keepLines/>
        <w:numPr>
          <w:ilvl w:val="1"/>
          <w:numId w:val="0"/>
        </w:numPr>
        <w:adjustRightInd w:val="0"/>
        <w:snapToGrid w:val="0"/>
        <w:spacing w:line="324" w:lineRule="auto"/>
        <w:ind w:left="567" w:hanging="567"/>
        <w:outlineLvl w:val="1"/>
        <w:rPr>
          <w:rFonts w:ascii="Times New Roman" w:hAnsi="Times New Roman"/>
          <w:b/>
          <w:bCs/>
          <w:sz w:val="24"/>
        </w:rPr>
      </w:pPr>
      <w:r>
        <w:rPr>
          <w:rFonts w:hint="eastAsia" w:ascii="Times New Roman" w:hAnsi="Times New Roman"/>
          <w:b/>
          <w:bCs/>
          <w:sz w:val="24"/>
        </w:rPr>
        <w:t>1.1</w:t>
      </w:r>
      <w:r>
        <w:rPr>
          <w:rFonts w:ascii="Times New Roman" w:hAnsi="Times New Roman"/>
          <w:b/>
          <w:bCs/>
          <w:sz w:val="24"/>
          <w:szCs w:val="21"/>
        </w:rPr>
        <w:t>作业目标</w:t>
      </w:r>
      <w:bookmarkEnd w:id="1"/>
    </w:p>
    <w:p>
      <w:pPr>
        <w:adjustRightInd w:val="0"/>
        <w:snapToGrid w:val="0"/>
        <w:spacing w:line="360" w:lineRule="auto"/>
        <w:ind w:firstLine="480" w:firstLineChars="200"/>
        <w:rPr>
          <w:rFonts w:ascii="Times New Roman" w:hAnsi="Times New Roman"/>
          <w:sz w:val="24"/>
        </w:rPr>
      </w:pPr>
      <w:r>
        <w:rPr>
          <w:rFonts w:ascii="Times New Roman" w:hAnsi="Times New Roman"/>
          <w:sz w:val="24"/>
        </w:rPr>
        <w:t>基于本次生产的202</w:t>
      </w:r>
      <w:r>
        <w:rPr>
          <w:rFonts w:hint="eastAsia" w:ascii="Times New Roman" w:hAnsi="Times New Roman"/>
          <w:sz w:val="24"/>
          <w:lang w:val="en-US" w:eastAsia="zh-CN"/>
        </w:rPr>
        <w:t>3</w:t>
      </w:r>
      <w:r>
        <w:rPr>
          <w:rFonts w:ascii="Times New Roman" w:hAnsi="Times New Roman"/>
          <w:sz w:val="24"/>
        </w:rPr>
        <w:t>年度1:2000数字正射影像图，与上一年度（20</w:t>
      </w:r>
      <w:r>
        <w:rPr>
          <w:rFonts w:hint="eastAsia" w:ascii="Times New Roman" w:hAnsi="Times New Roman"/>
          <w:sz w:val="24"/>
        </w:rPr>
        <w:t>2</w:t>
      </w:r>
      <w:r>
        <w:rPr>
          <w:rFonts w:hint="eastAsia" w:ascii="Times New Roman" w:hAnsi="Times New Roman"/>
          <w:sz w:val="24"/>
          <w:lang w:val="en-US" w:eastAsia="zh-CN"/>
        </w:rPr>
        <w:t>2</w:t>
      </w:r>
      <w:r>
        <w:rPr>
          <w:rFonts w:ascii="Times New Roman" w:hAnsi="Times New Roman"/>
          <w:sz w:val="24"/>
        </w:rPr>
        <w:t>年）的1:2000航空数字正射影像图进行比对，发现并圈出占地面积岛外超过20平方米、岛内超过10平方米的新增建设用地图斑，并与收集到的批建资料进行核实、分类统计、汇总等，获取本次甲方需求的图斑比对成果。</w:t>
      </w:r>
    </w:p>
    <w:p>
      <w:pPr>
        <w:keepNext/>
        <w:keepLines/>
        <w:numPr>
          <w:ilvl w:val="2"/>
          <w:numId w:val="0"/>
        </w:numPr>
        <w:adjustRightInd w:val="0"/>
        <w:snapToGrid w:val="0"/>
        <w:spacing w:before="120" w:after="120" w:line="324" w:lineRule="auto"/>
        <w:outlineLvl w:val="2"/>
        <w:rPr>
          <w:rFonts w:ascii="Times New Roman" w:hAnsi="Times New Roman"/>
          <w:b/>
          <w:bCs/>
          <w:sz w:val="24"/>
          <w:szCs w:val="21"/>
        </w:rPr>
      </w:pPr>
      <w:bookmarkStart w:id="2" w:name="_Toc464912726"/>
      <w:r>
        <w:rPr>
          <w:rFonts w:hint="eastAsia" w:ascii="Times New Roman" w:hAnsi="Times New Roman"/>
          <w:b/>
          <w:bCs/>
          <w:sz w:val="24"/>
          <w:szCs w:val="21"/>
        </w:rPr>
        <w:t>1.2</w:t>
      </w:r>
      <w:r>
        <w:rPr>
          <w:rFonts w:ascii="Times New Roman" w:hAnsi="Times New Roman"/>
          <w:b/>
          <w:bCs/>
          <w:sz w:val="24"/>
          <w:szCs w:val="21"/>
        </w:rPr>
        <w:t>作业方法及步骤</w:t>
      </w:r>
      <w:bookmarkEnd w:id="2"/>
    </w:p>
    <w:p>
      <w:pPr>
        <w:numPr>
          <w:ilvl w:val="0"/>
          <w:numId w:val="1"/>
        </w:numPr>
        <w:adjustRightInd w:val="0"/>
        <w:snapToGrid w:val="0"/>
        <w:spacing w:line="360" w:lineRule="auto"/>
        <w:ind w:firstLine="480"/>
        <w:jc w:val="left"/>
        <w:rPr>
          <w:rFonts w:ascii="Times New Roman" w:hAnsi="Times New Roman"/>
          <w:sz w:val="24"/>
        </w:rPr>
      </w:pPr>
      <w:r>
        <w:rPr>
          <w:rFonts w:ascii="Times New Roman" w:hAnsi="Times New Roman"/>
          <w:sz w:val="24"/>
        </w:rPr>
        <w:t>对比本年度1:2000数字正射影像和20</w:t>
      </w:r>
      <w:r>
        <w:rPr>
          <w:rFonts w:hint="eastAsia" w:ascii="Times New Roman" w:hAnsi="Times New Roman"/>
          <w:sz w:val="24"/>
        </w:rPr>
        <w:t>2</w:t>
      </w:r>
      <w:r>
        <w:rPr>
          <w:rFonts w:hint="eastAsia" w:ascii="Times New Roman" w:hAnsi="Times New Roman"/>
          <w:sz w:val="24"/>
          <w:lang w:val="en-US" w:eastAsia="zh-CN"/>
        </w:rPr>
        <w:t>2</w:t>
      </w:r>
      <w:r>
        <w:rPr>
          <w:rFonts w:ascii="Times New Roman" w:hAnsi="Times New Roman"/>
          <w:sz w:val="24"/>
        </w:rPr>
        <w:t>年的1:2000航空数字正射影像数据进行变化监测处理，检测变化建设用地图斑。逐块逐片比对影像纹理，判读变化图斑，并逐一圈定。</w:t>
      </w:r>
    </w:p>
    <w:p>
      <w:pPr>
        <w:numPr>
          <w:ilvl w:val="0"/>
          <w:numId w:val="1"/>
        </w:numPr>
        <w:adjustRightInd w:val="0"/>
        <w:snapToGrid w:val="0"/>
        <w:spacing w:line="360" w:lineRule="auto"/>
        <w:ind w:firstLine="480"/>
        <w:jc w:val="left"/>
        <w:rPr>
          <w:rFonts w:ascii="Times New Roman" w:hAnsi="Times New Roman"/>
          <w:sz w:val="24"/>
        </w:rPr>
      </w:pPr>
      <w:r>
        <w:rPr>
          <w:rFonts w:ascii="Times New Roman" w:hAnsi="Times New Roman"/>
          <w:sz w:val="24"/>
        </w:rPr>
        <w:t>将圈定的图斑与甲方提供的批建资料进行核实，确定并区分出合法建设用地图斑和违章建设用地图斑。</w:t>
      </w:r>
    </w:p>
    <w:p>
      <w:pPr>
        <w:numPr>
          <w:ilvl w:val="0"/>
          <w:numId w:val="1"/>
        </w:numPr>
        <w:adjustRightInd w:val="0"/>
        <w:snapToGrid w:val="0"/>
        <w:spacing w:line="360" w:lineRule="auto"/>
        <w:ind w:firstLine="480"/>
        <w:jc w:val="left"/>
        <w:rPr>
          <w:rFonts w:ascii="Times New Roman" w:hAnsi="Times New Roman"/>
          <w:sz w:val="24"/>
        </w:rPr>
      </w:pPr>
      <w:r>
        <w:rPr>
          <w:rFonts w:ascii="Times New Roman" w:hAnsi="Times New Roman"/>
          <w:sz w:val="24"/>
        </w:rPr>
        <w:t>内业通过批建资料对所有变化图斑录入属性。</w:t>
      </w:r>
    </w:p>
    <w:p>
      <w:pPr>
        <w:numPr>
          <w:ilvl w:val="0"/>
          <w:numId w:val="1"/>
        </w:numPr>
        <w:adjustRightInd w:val="0"/>
        <w:snapToGrid w:val="0"/>
        <w:spacing w:line="360" w:lineRule="auto"/>
        <w:ind w:firstLine="480"/>
        <w:jc w:val="left"/>
        <w:rPr>
          <w:rFonts w:ascii="Times New Roman" w:hAnsi="Times New Roman"/>
          <w:sz w:val="24"/>
        </w:rPr>
      </w:pPr>
      <w:r>
        <w:rPr>
          <w:rFonts w:ascii="Times New Roman" w:hAnsi="Times New Roman"/>
          <w:sz w:val="24"/>
        </w:rPr>
        <w:t>对违章建设图斑按甲方的要求进行截图，制作违章图斑信息表。</w:t>
      </w:r>
    </w:p>
    <w:p>
      <w:pPr>
        <w:numPr>
          <w:ilvl w:val="0"/>
          <w:numId w:val="1"/>
        </w:numPr>
        <w:adjustRightInd w:val="0"/>
        <w:snapToGrid w:val="0"/>
        <w:spacing w:line="360" w:lineRule="auto"/>
        <w:ind w:firstLine="480"/>
        <w:jc w:val="left"/>
        <w:rPr>
          <w:rFonts w:ascii="Times New Roman" w:hAnsi="Times New Roman"/>
          <w:sz w:val="24"/>
        </w:rPr>
      </w:pPr>
      <w:r>
        <w:rPr>
          <w:rFonts w:ascii="Times New Roman" w:hAnsi="Times New Roman"/>
          <w:sz w:val="24"/>
        </w:rPr>
        <w:t>按镇级进行汇总，以Excel xls格式报表提交。</w:t>
      </w:r>
    </w:p>
    <w:p>
      <w:pPr>
        <w:keepNext/>
        <w:keepLines/>
        <w:numPr>
          <w:ilvl w:val="2"/>
          <w:numId w:val="0"/>
        </w:numPr>
        <w:adjustRightInd w:val="0"/>
        <w:snapToGrid w:val="0"/>
        <w:spacing w:before="120" w:after="120" w:line="324" w:lineRule="auto"/>
        <w:outlineLvl w:val="2"/>
        <w:rPr>
          <w:rFonts w:ascii="Times New Roman" w:hAnsi="Times New Roman"/>
          <w:b/>
          <w:bCs/>
          <w:sz w:val="24"/>
          <w:szCs w:val="21"/>
        </w:rPr>
      </w:pPr>
      <w:bookmarkStart w:id="3" w:name="_Toc464912727"/>
      <w:r>
        <w:rPr>
          <w:rFonts w:hint="eastAsia" w:ascii="Times New Roman" w:hAnsi="Times New Roman"/>
          <w:b/>
          <w:bCs/>
          <w:sz w:val="24"/>
          <w:szCs w:val="21"/>
        </w:rPr>
        <w:t>1.3</w:t>
      </w:r>
      <w:r>
        <w:rPr>
          <w:rFonts w:ascii="Times New Roman" w:hAnsi="Times New Roman"/>
          <w:b/>
          <w:bCs/>
          <w:sz w:val="24"/>
          <w:szCs w:val="21"/>
        </w:rPr>
        <w:t>技术要求</w:t>
      </w:r>
      <w:bookmarkEnd w:id="3"/>
    </w:p>
    <w:p>
      <w:pPr>
        <w:numPr>
          <w:ilvl w:val="0"/>
          <w:numId w:val="2"/>
        </w:numPr>
        <w:adjustRightInd w:val="0"/>
        <w:snapToGrid w:val="0"/>
        <w:spacing w:line="360" w:lineRule="auto"/>
        <w:ind w:left="0" w:firstLine="420" w:firstLineChars="175"/>
        <w:jc w:val="left"/>
        <w:rPr>
          <w:rFonts w:ascii="Times New Roman" w:hAnsi="Times New Roman"/>
          <w:sz w:val="24"/>
        </w:rPr>
      </w:pPr>
      <w:r>
        <w:rPr>
          <w:rFonts w:ascii="Times New Roman" w:hAnsi="Times New Roman"/>
          <w:sz w:val="24"/>
        </w:rPr>
        <w:t>需圈定的变化图斑为占地面积及建设面积岛内10平方米以上、岛外20平方米以上的新增图斑。</w:t>
      </w:r>
    </w:p>
    <w:p>
      <w:pPr>
        <w:numPr>
          <w:ilvl w:val="0"/>
          <w:numId w:val="2"/>
        </w:numPr>
        <w:adjustRightInd w:val="0"/>
        <w:snapToGrid w:val="0"/>
        <w:spacing w:line="360" w:lineRule="auto"/>
        <w:ind w:left="0" w:firstLine="420" w:firstLineChars="175"/>
        <w:jc w:val="left"/>
        <w:rPr>
          <w:rFonts w:ascii="Times New Roman" w:hAnsi="Times New Roman"/>
          <w:sz w:val="24"/>
        </w:rPr>
      </w:pPr>
      <w:r>
        <w:rPr>
          <w:rFonts w:ascii="Times New Roman" w:hAnsi="Times New Roman"/>
          <w:sz w:val="24"/>
        </w:rPr>
        <w:t>变化图斑包括合法图斑和违章图斑。</w:t>
      </w:r>
    </w:p>
    <w:p>
      <w:pPr>
        <w:numPr>
          <w:ilvl w:val="0"/>
          <w:numId w:val="2"/>
        </w:numPr>
        <w:adjustRightInd w:val="0"/>
        <w:snapToGrid w:val="0"/>
        <w:spacing w:line="360" w:lineRule="auto"/>
        <w:ind w:left="0" w:firstLine="420" w:firstLineChars="175"/>
        <w:jc w:val="left"/>
        <w:rPr>
          <w:rFonts w:ascii="Times New Roman" w:hAnsi="Times New Roman"/>
          <w:sz w:val="24"/>
        </w:rPr>
      </w:pPr>
      <w:r>
        <w:rPr>
          <w:rFonts w:ascii="Times New Roman" w:hAnsi="Times New Roman"/>
          <w:sz w:val="24"/>
        </w:rPr>
        <w:t>违章图斑认定：根据国土部门提供的历年批地红线图及农转用项目用地资料进行首轮筛查，初步认定为疑似图斑。</w:t>
      </w:r>
    </w:p>
    <w:p>
      <w:pPr>
        <w:numPr>
          <w:ilvl w:val="0"/>
          <w:numId w:val="2"/>
        </w:numPr>
        <w:adjustRightInd w:val="0"/>
        <w:snapToGrid w:val="0"/>
        <w:spacing w:line="360" w:lineRule="auto"/>
        <w:ind w:left="0" w:firstLine="420" w:firstLineChars="175"/>
        <w:jc w:val="left"/>
        <w:rPr>
          <w:rFonts w:ascii="Times New Roman" w:hAnsi="Times New Roman"/>
          <w:color w:val="000000"/>
          <w:sz w:val="24"/>
        </w:rPr>
      </w:pPr>
      <w:r>
        <w:rPr>
          <w:rFonts w:ascii="Times New Roman" w:hAnsi="Times New Roman"/>
          <w:color w:val="000000"/>
          <w:sz w:val="24"/>
        </w:rPr>
        <w:t>测区内的变化图斑应各自以街道或镇为独立单元按自西向东，从北到南的顺序进行统一连续编号，不得重复 。</w:t>
      </w:r>
      <w:r>
        <w:rPr>
          <w:rFonts w:hint="eastAsia" w:ascii="Times New Roman" w:hAnsi="Times New Roman"/>
          <w:color w:val="000000"/>
          <w:sz w:val="24"/>
        </w:rPr>
        <w:t>编号规则为：以街道或镇名行政区代码（取其完整</w:t>
      </w:r>
      <w:r>
        <w:rPr>
          <w:rFonts w:ascii="Times New Roman" w:hAnsi="Times New Roman"/>
          <w:color w:val="000000"/>
          <w:sz w:val="24"/>
        </w:rPr>
        <w:t xml:space="preserve">9 </w:t>
      </w:r>
      <w:r>
        <w:rPr>
          <w:rFonts w:hint="eastAsia" w:ascii="Times New Roman" w:hAnsi="Times New Roman"/>
          <w:color w:val="000000"/>
          <w:sz w:val="24"/>
        </w:rPr>
        <w:t>位数中的后</w:t>
      </w:r>
      <w:r>
        <w:rPr>
          <w:rFonts w:ascii="Times New Roman" w:hAnsi="Times New Roman"/>
          <w:color w:val="000000"/>
          <w:sz w:val="24"/>
        </w:rPr>
        <w:t xml:space="preserve">6 </w:t>
      </w:r>
      <w:r>
        <w:rPr>
          <w:rFonts w:hint="eastAsia" w:ascii="Times New Roman" w:hAnsi="Times New Roman"/>
          <w:color w:val="000000"/>
          <w:sz w:val="24"/>
        </w:rPr>
        <w:t>位）+2位年份数字（年份后2位）</w:t>
      </w:r>
      <w:r>
        <w:rPr>
          <w:rFonts w:ascii="Times New Roman" w:hAnsi="Times New Roman"/>
          <w:color w:val="000000"/>
          <w:sz w:val="24"/>
        </w:rPr>
        <w:t>+</w:t>
      </w:r>
      <w:r>
        <w:rPr>
          <w:rFonts w:hint="eastAsia" w:ascii="Times New Roman" w:hAnsi="Times New Roman"/>
          <w:color w:val="000000"/>
          <w:sz w:val="24"/>
        </w:rPr>
        <w:t>4位数字顺序号，如新店镇完整的行政区代码为“</w:t>
      </w:r>
      <w:r>
        <w:rPr>
          <w:rFonts w:ascii="Times New Roman" w:hAnsi="Times New Roman"/>
          <w:color w:val="000000"/>
          <w:sz w:val="24"/>
        </w:rPr>
        <w:t>350213104</w:t>
      </w:r>
      <w:r>
        <w:rPr>
          <w:rFonts w:hint="eastAsia" w:ascii="Times New Roman" w:hAnsi="Times New Roman"/>
          <w:color w:val="000000"/>
          <w:sz w:val="24"/>
        </w:rPr>
        <w:t>”，后</w:t>
      </w:r>
      <w:r>
        <w:rPr>
          <w:rFonts w:ascii="Times New Roman" w:hAnsi="Times New Roman"/>
          <w:color w:val="000000"/>
          <w:sz w:val="24"/>
        </w:rPr>
        <w:t xml:space="preserve">6 </w:t>
      </w:r>
      <w:r>
        <w:rPr>
          <w:rFonts w:hint="eastAsia" w:ascii="Times New Roman" w:hAnsi="Times New Roman"/>
          <w:color w:val="000000"/>
          <w:sz w:val="24"/>
        </w:rPr>
        <w:t>位为“</w:t>
      </w:r>
      <w:r>
        <w:rPr>
          <w:rFonts w:ascii="Times New Roman" w:hAnsi="Times New Roman"/>
          <w:color w:val="000000"/>
          <w:sz w:val="24"/>
        </w:rPr>
        <w:t>213104</w:t>
      </w:r>
      <w:r>
        <w:rPr>
          <w:rFonts w:hint="eastAsia" w:ascii="Times New Roman" w:hAnsi="Times New Roman"/>
          <w:color w:val="000000"/>
          <w:sz w:val="24"/>
        </w:rPr>
        <w:t>”，则其镇内2021年第</w:t>
      </w:r>
      <w:r>
        <w:rPr>
          <w:rFonts w:ascii="Times New Roman" w:hAnsi="Times New Roman"/>
          <w:color w:val="000000"/>
          <w:sz w:val="24"/>
        </w:rPr>
        <w:t>7</w:t>
      </w:r>
      <w:r>
        <w:rPr>
          <w:rFonts w:hint="eastAsia" w:ascii="Times New Roman" w:hAnsi="Times New Roman"/>
          <w:color w:val="000000"/>
          <w:sz w:val="24"/>
        </w:rPr>
        <w:t>号变化图斑编号为“</w:t>
      </w:r>
      <w:r>
        <w:rPr>
          <w:rFonts w:ascii="Times New Roman" w:hAnsi="Times New Roman"/>
          <w:color w:val="000000"/>
          <w:sz w:val="24"/>
        </w:rPr>
        <w:t>213104</w:t>
      </w:r>
      <w:r>
        <w:rPr>
          <w:rFonts w:hint="eastAsia" w:ascii="Times New Roman" w:hAnsi="Times New Roman"/>
          <w:color w:val="000000"/>
          <w:sz w:val="24"/>
        </w:rPr>
        <w:t>21</w:t>
      </w:r>
      <w:r>
        <w:rPr>
          <w:rFonts w:ascii="Times New Roman" w:hAnsi="Times New Roman"/>
          <w:color w:val="000000"/>
          <w:sz w:val="24"/>
        </w:rPr>
        <w:t>0007</w:t>
      </w:r>
      <w:r>
        <w:rPr>
          <w:rFonts w:hint="eastAsia" w:ascii="Times New Roman" w:hAnsi="Times New Roman"/>
          <w:color w:val="000000"/>
          <w:sz w:val="24"/>
        </w:rPr>
        <w:t>”</w:t>
      </w:r>
      <w:r>
        <w:rPr>
          <w:rFonts w:ascii="Times New Roman" w:hAnsi="Times New Roman"/>
          <w:color w:val="000000"/>
          <w:sz w:val="24"/>
        </w:rPr>
        <w:t>。</w:t>
      </w:r>
    </w:p>
    <w:p>
      <w:pPr>
        <w:numPr>
          <w:ilvl w:val="0"/>
          <w:numId w:val="2"/>
        </w:numPr>
        <w:adjustRightInd w:val="0"/>
        <w:snapToGrid w:val="0"/>
        <w:spacing w:line="324" w:lineRule="auto"/>
        <w:ind w:left="0" w:firstLine="420" w:firstLineChars="175"/>
        <w:jc w:val="left"/>
        <w:rPr>
          <w:rFonts w:ascii="Times New Roman" w:hAnsi="Times New Roman"/>
          <w:sz w:val="24"/>
        </w:rPr>
      </w:pPr>
      <w:r>
        <w:rPr>
          <w:rFonts w:ascii="Times New Roman" w:hAnsi="Times New Roman"/>
          <w:sz w:val="24"/>
        </w:rPr>
        <w:t>变化图斑属性项及数据结构如下：</w:t>
      </w:r>
    </w:p>
    <w:tbl>
      <w:tblPr>
        <w:tblStyle w:val="3"/>
        <w:tblW w:w="827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26"/>
        <w:gridCol w:w="1560"/>
        <w:gridCol w:w="1134"/>
        <w:gridCol w:w="1134"/>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blHeader/>
          <w:jc w:val="right"/>
        </w:trPr>
        <w:tc>
          <w:tcPr>
            <w:tcW w:w="709" w:type="dxa"/>
            <w:shd w:val="clear" w:color="auto" w:fill="D9D9D9"/>
            <w:noWrap w:val="0"/>
            <w:vAlign w:val="center"/>
          </w:tcPr>
          <w:p>
            <w:pPr>
              <w:adjustRightInd w:val="0"/>
              <w:snapToGrid w:val="0"/>
              <w:spacing w:line="324" w:lineRule="auto"/>
              <w:jc w:val="center"/>
              <w:rPr>
                <w:rFonts w:ascii="Times New Roman" w:hAnsi="Times New Roman"/>
                <w:b/>
                <w:szCs w:val="21"/>
              </w:rPr>
            </w:pPr>
            <w:r>
              <w:rPr>
                <w:rFonts w:ascii="Times New Roman" w:hAnsi="Times New Roman"/>
                <w:b/>
                <w:szCs w:val="21"/>
              </w:rPr>
              <w:t>序号</w:t>
            </w:r>
          </w:p>
        </w:tc>
        <w:tc>
          <w:tcPr>
            <w:tcW w:w="2226" w:type="dxa"/>
            <w:shd w:val="clear" w:color="auto" w:fill="D9D9D9"/>
            <w:noWrap w:val="0"/>
            <w:vAlign w:val="center"/>
          </w:tcPr>
          <w:p>
            <w:pPr>
              <w:adjustRightInd w:val="0"/>
              <w:snapToGrid w:val="0"/>
              <w:spacing w:line="324" w:lineRule="auto"/>
              <w:jc w:val="center"/>
              <w:rPr>
                <w:rFonts w:ascii="Times New Roman" w:hAnsi="Times New Roman"/>
                <w:b/>
                <w:szCs w:val="21"/>
              </w:rPr>
            </w:pPr>
            <w:r>
              <w:rPr>
                <w:rFonts w:ascii="Times New Roman" w:hAnsi="Times New Roman"/>
                <w:b/>
                <w:szCs w:val="21"/>
              </w:rPr>
              <w:t>字段描述</w:t>
            </w:r>
          </w:p>
        </w:tc>
        <w:tc>
          <w:tcPr>
            <w:tcW w:w="1560" w:type="dxa"/>
            <w:shd w:val="clear" w:color="auto" w:fill="D9D9D9"/>
            <w:noWrap w:val="0"/>
            <w:vAlign w:val="center"/>
          </w:tcPr>
          <w:p>
            <w:pPr>
              <w:adjustRightInd w:val="0"/>
              <w:snapToGrid w:val="0"/>
              <w:spacing w:line="324" w:lineRule="auto"/>
              <w:jc w:val="center"/>
              <w:rPr>
                <w:rFonts w:ascii="Times New Roman" w:hAnsi="Times New Roman"/>
                <w:b/>
                <w:szCs w:val="21"/>
              </w:rPr>
            </w:pPr>
            <w:r>
              <w:rPr>
                <w:rFonts w:ascii="Times New Roman" w:hAnsi="Times New Roman"/>
                <w:b/>
                <w:szCs w:val="21"/>
              </w:rPr>
              <w:t>字段代码</w:t>
            </w:r>
          </w:p>
        </w:tc>
        <w:tc>
          <w:tcPr>
            <w:tcW w:w="1134" w:type="dxa"/>
            <w:shd w:val="clear" w:color="auto" w:fill="D9D9D9"/>
            <w:noWrap w:val="0"/>
            <w:vAlign w:val="center"/>
          </w:tcPr>
          <w:p>
            <w:pPr>
              <w:adjustRightInd w:val="0"/>
              <w:snapToGrid w:val="0"/>
              <w:spacing w:line="324" w:lineRule="auto"/>
              <w:jc w:val="center"/>
              <w:rPr>
                <w:rFonts w:ascii="Times New Roman" w:hAnsi="Times New Roman"/>
                <w:b/>
                <w:szCs w:val="21"/>
              </w:rPr>
            </w:pPr>
            <w:r>
              <w:rPr>
                <w:rFonts w:ascii="Times New Roman" w:hAnsi="Times New Roman"/>
                <w:b/>
                <w:szCs w:val="21"/>
              </w:rPr>
              <w:t>字段类型</w:t>
            </w:r>
          </w:p>
        </w:tc>
        <w:tc>
          <w:tcPr>
            <w:tcW w:w="1134" w:type="dxa"/>
            <w:shd w:val="clear" w:color="auto" w:fill="D9D9D9"/>
            <w:noWrap w:val="0"/>
            <w:vAlign w:val="center"/>
          </w:tcPr>
          <w:p>
            <w:pPr>
              <w:adjustRightInd w:val="0"/>
              <w:snapToGrid w:val="0"/>
              <w:spacing w:line="324" w:lineRule="auto"/>
              <w:jc w:val="center"/>
              <w:rPr>
                <w:rFonts w:ascii="Times New Roman" w:hAnsi="Times New Roman"/>
                <w:b/>
                <w:szCs w:val="21"/>
              </w:rPr>
            </w:pPr>
            <w:r>
              <w:rPr>
                <w:rFonts w:ascii="Times New Roman" w:hAnsi="Times New Roman"/>
                <w:b/>
                <w:szCs w:val="21"/>
              </w:rPr>
              <w:t>字段格式</w:t>
            </w:r>
          </w:p>
        </w:tc>
        <w:tc>
          <w:tcPr>
            <w:tcW w:w="1509" w:type="dxa"/>
            <w:shd w:val="clear" w:color="auto" w:fill="D9D9D9"/>
            <w:noWrap w:val="0"/>
            <w:vAlign w:val="center"/>
          </w:tcPr>
          <w:p>
            <w:pPr>
              <w:adjustRightInd w:val="0"/>
              <w:snapToGrid w:val="0"/>
              <w:spacing w:line="324" w:lineRule="auto"/>
              <w:jc w:val="center"/>
              <w:rPr>
                <w:rFonts w:ascii="Times New Roman" w:hAnsi="Times New Roman"/>
                <w:b/>
                <w:szCs w:val="21"/>
              </w:rPr>
            </w:pPr>
            <w:r>
              <w:rPr>
                <w:rFonts w:ascii="Times New Roman" w:hAnsi="Times New Roman"/>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图斑编号</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TBBH</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字符型</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11C</w:t>
            </w:r>
          </w:p>
        </w:tc>
        <w:tc>
          <w:tcPr>
            <w:tcW w:w="1509" w:type="dxa"/>
            <w:noWrap w:val="0"/>
            <w:vAlign w:val="center"/>
          </w:tcPr>
          <w:p>
            <w:pPr>
              <w:adjustRightInd w:val="0"/>
              <w:snapToGrid w:val="0"/>
              <w:spacing w:line="324"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2</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图斑坐落行政区名称</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TBZLXZQMC</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字符型</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20C</w:t>
            </w:r>
          </w:p>
        </w:tc>
        <w:tc>
          <w:tcPr>
            <w:tcW w:w="15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填写至行政村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3</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图斑坐落行政区代码</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TBZLXZQDM</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字符型</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12C</w:t>
            </w:r>
          </w:p>
        </w:tc>
        <w:tc>
          <w:tcPr>
            <w:tcW w:w="15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填写至行政村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4</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图斑中心点坐标X</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TBZXDZBX</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双精度</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12.2F</w:t>
            </w:r>
          </w:p>
        </w:tc>
        <w:tc>
          <w:tcPr>
            <w:tcW w:w="1509" w:type="dxa"/>
            <w:noWrap w:val="0"/>
            <w:vAlign w:val="center"/>
          </w:tcPr>
          <w:p>
            <w:pPr>
              <w:adjustRightInd w:val="0"/>
              <w:snapToGrid w:val="0"/>
              <w:spacing w:line="324"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5</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图斑中心点坐标Y</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TBZXDZBY</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双精度</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12.2F</w:t>
            </w:r>
          </w:p>
        </w:tc>
        <w:tc>
          <w:tcPr>
            <w:tcW w:w="1509" w:type="dxa"/>
            <w:noWrap w:val="0"/>
            <w:vAlign w:val="center"/>
          </w:tcPr>
          <w:p>
            <w:pPr>
              <w:adjustRightInd w:val="0"/>
              <w:snapToGrid w:val="0"/>
              <w:spacing w:line="324"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6</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图斑面积</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XZJSYDTBMJ</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双精度</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12.2F</w:t>
            </w:r>
          </w:p>
        </w:tc>
        <w:tc>
          <w:tcPr>
            <w:tcW w:w="1509" w:type="dxa"/>
            <w:noWrap w:val="0"/>
            <w:vAlign w:val="center"/>
          </w:tcPr>
          <w:p>
            <w:pPr>
              <w:adjustRightInd w:val="0"/>
              <w:snapToGrid w:val="0"/>
              <w:spacing w:line="324"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7</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批建资料名称及编号</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PJWJH</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变长文本</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VCHAR</w:t>
            </w:r>
          </w:p>
        </w:tc>
        <w:tc>
          <w:tcPr>
            <w:tcW w:w="1509" w:type="dxa"/>
            <w:noWrap w:val="0"/>
            <w:vAlign w:val="center"/>
          </w:tcPr>
          <w:p>
            <w:pPr>
              <w:adjustRightInd w:val="0"/>
              <w:snapToGrid w:val="0"/>
              <w:spacing w:line="324"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8</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图斑违法性认定</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TBWFXRD</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字符型</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12C</w:t>
            </w:r>
          </w:p>
        </w:tc>
        <w:tc>
          <w:tcPr>
            <w:tcW w:w="1509" w:type="dxa"/>
            <w:noWrap w:val="0"/>
            <w:vAlign w:val="center"/>
          </w:tcPr>
          <w:p>
            <w:pPr>
              <w:adjustRightInd w:val="0"/>
              <w:snapToGrid w:val="0"/>
              <w:spacing w:line="324"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9</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图斑违章性质</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TBWZXZ</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变长文本</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VCHAR</w:t>
            </w:r>
          </w:p>
        </w:tc>
        <w:tc>
          <w:tcPr>
            <w:tcW w:w="15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本次作业留空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10</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原地类</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YDL</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字符型</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16C</w:t>
            </w:r>
          </w:p>
        </w:tc>
        <w:tc>
          <w:tcPr>
            <w:tcW w:w="1509" w:type="dxa"/>
            <w:noWrap w:val="0"/>
            <w:vAlign w:val="center"/>
          </w:tcPr>
          <w:p>
            <w:pPr>
              <w:adjustRightInd w:val="0"/>
              <w:snapToGrid w:val="0"/>
              <w:spacing w:line="324"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11</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现地类</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XDL</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字符型</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16C</w:t>
            </w:r>
          </w:p>
        </w:tc>
        <w:tc>
          <w:tcPr>
            <w:tcW w:w="1509" w:type="dxa"/>
            <w:noWrap w:val="0"/>
            <w:vAlign w:val="center"/>
          </w:tcPr>
          <w:p>
            <w:pPr>
              <w:adjustRightInd w:val="0"/>
              <w:snapToGrid w:val="0"/>
              <w:spacing w:line="324"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13</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建设状态</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JSZT</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字符型</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8C</w:t>
            </w:r>
          </w:p>
        </w:tc>
        <w:tc>
          <w:tcPr>
            <w:tcW w:w="1509" w:type="dxa"/>
            <w:noWrap w:val="0"/>
            <w:vAlign w:val="center"/>
          </w:tcPr>
          <w:p>
            <w:pPr>
              <w:adjustRightInd w:val="0"/>
              <w:snapToGrid w:val="0"/>
              <w:spacing w:line="324"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14</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建筑占地</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JZZD</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双精度</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12.2F</w:t>
            </w:r>
          </w:p>
        </w:tc>
        <w:tc>
          <w:tcPr>
            <w:tcW w:w="1509" w:type="dxa"/>
            <w:noWrap w:val="0"/>
            <w:vAlign w:val="center"/>
          </w:tcPr>
          <w:p>
            <w:pPr>
              <w:adjustRightInd w:val="0"/>
              <w:snapToGrid w:val="0"/>
              <w:spacing w:line="324"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15</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层数</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CS</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字符型</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2C</w:t>
            </w:r>
          </w:p>
        </w:tc>
        <w:tc>
          <w:tcPr>
            <w:tcW w:w="1509" w:type="dxa"/>
            <w:noWrap w:val="0"/>
            <w:vAlign w:val="center"/>
          </w:tcPr>
          <w:p>
            <w:pPr>
              <w:adjustRightInd w:val="0"/>
              <w:snapToGrid w:val="0"/>
              <w:spacing w:line="324"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16</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建筑面积</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JZMJ</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双精度</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12.2F</w:t>
            </w:r>
          </w:p>
        </w:tc>
        <w:tc>
          <w:tcPr>
            <w:tcW w:w="1509" w:type="dxa"/>
            <w:noWrap w:val="0"/>
            <w:vAlign w:val="center"/>
          </w:tcPr>
          <w:p>
            <w:pPr>
              <w:adjustRightInd w:val="0"/>
              <w:snapToGrid w:val="0"/>
              <w:spacing w:line="324"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17</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所在图幅号</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SZTFH</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字符型</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6C</w:t>
            </w:r>
          </w:p>
        </w:tc>
        <w:tc>
          <w:tcPr>
            <w:tcW w:w="1509" w:type="dxa"/>
            <w:noWrap w:val="0"/>
            <w:vAlign w:val="center"/>
          </w:tcPr>
          <w:p>
            <w:pPr>
              <w:adjustRightInd w:val="0"/>
              <w:snapToGrid w:val="0"/>
              <w:spacing w:line="324"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18</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比对日期</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ZYRQ</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字符型</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6C</w:t>
            </w:r>
          </w:p>
        </w:tc>
        <w:tc>
          <w:tcPr>
            <w:tcW w:w="15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填写至月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19</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比对人员</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ZYRY</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字符型</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6C</w:t>
            </w:r>
          </w:p>
        </w:tc>
        <w:tc>
          <w:tcPr>
            <w:tcW w:w="1509" w:type="dxa"/>
            <w:noWrap w:val="0"/>
            <w:vAlign w:val="center"/>
          </w:tcPr>
          <w:p>
            <w:pPr>
              <w:adjustRightInd w:val="0"/>
              <w:snapToGrid w:val="0"/>
              <w:spacing w:line="324" w:lineRule="auto"/>
              <w:jc w:val="center"/>
              <w:rPr>
                <w:rFonts w:ascii="Times New Roman" w:hAnsi="Times New Roman"/>
                <w:szCs w:val="21"/>
              </w:rPr>
            </w:pPr>
          </w:p>
        </w:tc>
      </w:tr>
    </w:tbl>
    <w:p>
      <w:pPr>
        <w:adjustRightInd w:val="0"/>
        <w:snapToGrid w:val="0"/>
        <w:spacing w:line="324" w:lineRule="auto"/>
        <w:jc w:val="left"/>
        <w:rPr>
          <w:rFonts w:hint="eastAsia" w:ascii="Times New Roman" w:hAnsi="Times New Roman"/>
          <w:sz w:val="24"/>
        </w:rPr>
      </w:pPr>
    </w:p>
    <w:p>
      <w:pPr>
        <w:numPr>
          <w:ilvl w:val="0"/>
          <w:numId w:val="2"/>
        </w:numPr>
        <w:adjustRightInd w:val="0"/>
        <w:snapToGrid w:val="0"/>
        <w:spacing w:line="324" w:lineRule="auto"/>
        <w:ind w:left="0" w:leftChars="0" w:firstLine="420" w:firstLineChars="175"/>
        <w:rPr>
          <w:rFonts w:ascii="Times New Roman" w:hAnsi="Times New Roman"/>
          <w:sz w:val="24"/>
        </w:rPr>
      </w:pPr>
      <w:r>
        <w:rPr>
          <w:rFonts w:ascii="Times New Roman" w:hAnsi="Times New Roman"/>
          <w:sz w:val="24"/>
        </w:rPr>
        <w:t>变化图斑的属性录入要求</w:t>
      </w:r>
    </w:p>
    <w:p>
      <w:pPr>
        <w:numPr>
          <w:ilvl w:val="1"/>
          <w:numId w:val="3"/>
        </w:numPr>
        <w:adjustRightInd w:val="0"/>
        <w:snapToGrid w:val="0"/>
        <w:spacing w:line="324" w:lineRule="auto"/>
        <w:ind w:left="0" w:firstLine="420" w:firstLineChars="175"/>
        <w:rPr>
          <w:rFonts w:ascii="Times New Roman" w:hAnsi="Times New Roman"/>
          <w:sz w:val="24"/>
        </w:rPr>
      </w:pPr>
      <w:r>
        <w:rPr>
          <w:rFonts w:ascii="Times New Roman" w:hAnsi="Times New Roman"/>
          <w:sz w:val="24"/>
        </w:rPr>
        <w:t>“批建资料名称及编号”按批建资料录入，违章图斑该属性填“无”。</w:t>
      </w:r>
    </w:p>
    <w:p>
      <w:pPr>
        <w:numPr>
          <w:ilvl w:val="1"/>
          <w:numId w:val="3"/>
        </w:numPr>
        <w:adjustRightInd w:val="0"/>
        <w:snapToGrid w:val="0"/>
        <w:spacing w:line="324" w:lineRule="auto"/>
        <w:ind w:left="0" w:firstLine="420" w:firstLineChars="175"/>
        <w:rPr>
          <w:rFonts w:ascii="Times New Roman" w:hAnsi="Times New Roman"/>
          <w:sz w:val="24"/>
        </w:rPr>
      </w:pPr>
      <w:r>
        <w:rPr>
          <w:rFonts w:ascii="Times New Roman" w:hAnsi="Times New Roman"/>
          <w:sz w:val="24"/>
        </w:rPr>
        <w:t>“图斑违法性认定”属性根据批建资料或市执法局的反馈进行认定并录入。</w:t>
      </w:r>
    </w:p>
    <w:p>
      <w:pPr>
        <w:numPr>
          <w:ilvl w:val="1"/>
          <w:numId w:val="3"/>
        </w:numPr>
        <w:adjustRightInd w:val="0"/>
        <w:snapToGrid w:val="0"/>
        <w:spacing w:line="324" w:lineRule="auto"/>
        <w:ind w:left="0" w:firstLine="420" w:firstLineChars="175"/>
        <w:rPr>
          <w:rFonts w:ascii="Times New Roman" w:hAnsi="Times New Roman"/>
          <w:sz w:val="24"/>
        </w:rPr>
      </w:pPr>
      <w:r>
        <w:rPr>
          <w:rFonts w:ascii="Times New Roman" w:hAnsi="Times New Roman"/>
          <w:sz w:val="24"/>
        </w:rPr>
        <w:t>“图斑违章性质”属性按“非法占地”、“违法建设”分别录入。</w:t>
      </w:r>
    </w:p>
    <w:p>
      <w:pPr>
        <w:numPr>
          <w:ilvl w:val="1"/>
          <w:numId w:val="3"/>
        </w:numPr>
        <w:adjustRightInd w:val="0"/>
        <w:snapToGrid w:val="0"/>
        <w:spacing w:line="324" w:lineRule="auto"/>
        <w:ind w:left="0" w:firstLine="420" w:firstLineChars="175"/>
        <w:rPr>
          <w:rFonts w:ascii="Times New Roman" w:hAnsi="Times New Roman"/>
          <w:sz w:val="24"/>
        </w:rPr>
      </w:pPr>
      <w:r>
        <w:rPr>
          <w:rFonts w:ascii="Times New Roman" w:hAnsi="Times New Roman"/>
          <w:sz w:val="24"/>
        </w:rPr>
        <w:t>“原地类”按业主方20</w:t>
      </w:r>
      <w:r>
        <w:rPr>
          <w:rFonts w:hint="eastAsia" w:ascii="Times New Roman" w:hAnsi="Times New Roman"/>
          <w:sz w:val="24"/>
        </w:rPr>
        <w:t>2</w:t>
      </w:r>
      <w:r>
        <w:rPr>
          <w:rFonts w:hint="eastAsia" w:ascii="Times New Roman" w:hAnsi="Times New Roman"/>
          <w:sz w:val="24"/>
          <w:lang w:val="en-US" w:eastAsia="zh-CN"/>
        </w:rPr>
        <w:t>2</w:t>
      </w:r>
      <w:r>
        <w:rPr>
          <w:rFonts w:ascii="Times New Roman" w:hAnsi="Times New Roman"/>
          <w:sz w:val="24"/>
        </w:rPr>
        <w:t>年1:2000影像判定，“现地类”按前期作业刚刚生产的202</w:t>
      </w:r>
      <w:r>
        <w:rPr>
          <w:rFonts w:hint="eastAsia" w:ascii="Times New Roman" w:hAnsi="Times New Roman"/>
          <w:sz w:val="24"/>
          <w:lang w:val="en-US" w:eastAsia="zh-CN"/>
        </w:rPr>
        <w:t>3</w:t>
      </w:r>
      <w:r>
        <w:rPr>
          <w:rFonts w:ascii="Times New Roman" w:hAnsi="Times New Roman"/>
          <w:sz w:val="24"/>
        </w:rPr>
        <w:t>年1:2000影像判定。地类分类标准按《土地利用现状分类》。</w:t>
      </w:r>
    </w:p>
    <w:p>
      <w:pPr>
        <w:numPr>
          <w:ilvl w:val="1"/>
          <w:numId w:val="3"/>
        </w:numPr>
        <w:adjustRightInd w:val="0"/>
        <w:snapToGrid w:val="0"/>
        <w:spacing w:line="324" w:lineRule="auto"/>
        <w:ind w:left="0" w:firstLine="420" w:firstLineChars="175"/>
        <w:rPr>
          <w:rFonts w:ascii="Times New Roman" w:hAnsi="Times New Roman"/>
          <w:sz w:val="24"/>
        </w:rPr>
      </w:pPr>
      <w:r>
        <w:rPr>
          <w:rFonts w:ascii="Times New Roman" w:hAnsi="Times New Roman"/>
          <w:sz w:val="24"/>
        </w:rPr>
        <w:t>“建设状态”属性根据影像现状区分“地面开挖”、“浇筑基底”、“正在建设”和“建设完工”四种情况进行录入。</w:t>
      </w:r>
    </w:p>
    <w:p>
      <w:pPr>
        <w:numPr>
          <w:ilvl w:val="1"/>
          <w:numId w:val="3"/>
        </w:numPr>
        <w:adjustRightInd w:val="0"/>
        <w:snapToGrid w:val="0"/>
        <w:spacing w:line="324" w:lineRule="auto"/>
        <w:ind w:left="0" w:firstLine="420" w:firstLineChars="175"/>
        <w:rPr>
          <w:rFonts w:ascii="Times New Roman" w:hAnsi="Times New Roman"/>
          <w:sz w:val="24"/>
        </w:rPr>
      </w:pPr>
      <w:r>
        <w:rPr>
          <w:rFonts w:ascii="Times New Roman" w:hAnsi="Times New Roman"/>
          <w:sz w:val="24"/>
        </w:rPr>
        <w:t>“建筑占地”、“层数”和“建筑面积”属性以影像及立体模型为准进行圈定、判读，然后计算录入。建筑占地面积与图斑面积不一定相等，当不等时，作业应注意将建筑占地另外圈出，以便准确计算录入。</w:t>
      </w:r>
    </w:p>
    <w:p>
      <w:pPr>
        <w:numPr>
          <w:ilvl w:val="1"/>
          <w:numId w:val="3"/>
        </w:numPr>
        <w:adjustRightInd w:val="0"/>
        <w:snapToGrid w:val="0"/>
        <w:spacing w:line="324" w:lineRule="auto"/>
        <w:ind w:left="0" w:firstLine="420" w:firstLineChars="175"/>
        <w:jc w:val="left"/>
        <w:rPr>
          <w:rFonts w:ascii="Times New Roman" w:hAnsi="Times New Roman"/>
          <w:sz w:val="24"/>
        </w:rPr>
      </w:pPr>
      <w:r>
        <w:rPr>
          <w:rFonts w:ascii="Times New Roman" w:hAnsi="Times New Roman"/>
          <w:sz w:val="24"/>
        </w:rPr>
        <w:t>“所在图幅号”属性录入图斑对应所在的1:2000图幅号；当图斑跨图幅时，以该图斑最大面积部分所在图幅的图幅号为准录入。</w:t>
      </w:r>
    </w:p>
    <w:p>
      <w:pPr>
        <w:numPr>
          <w:ilvl w:val="0"/>
          <w:numId w:val="2"/>
        </w:numPr>
        <w:adjustRightInd w:val="0"/>
        <w:snapToGrid w:val="0"/>
        <w:spacing w:line="324" w:lineRule="auto"/>
        <w:ind w:left="0" w:firstLine="420" w:firstLineChars="175"/>
        <w:jc w:val="left"/>
        <w:rPr>
          <w:rFonts w:ascii="Times New Roman" w:hAnsi="Times New Roman"/>
          <w:sz w:val="24"/>
        </w:rPr>
      </w:pPr>
      <w:r>
        <w:rPr>
          <w:rFonts w:ascii="Times New Roman" w:hAnsi="Times New Roman"/>
          <w:sz w:val="24"/>
        </w:rPr>
        <w:t>违章图斑还应按附录“违章图斑信息表”（该表由业主提供，如业主需求有变化时，以业主提供的最新版为准，但应在技术总结中说明）的要求制作Excel格式的信息表。“违章图斑信息表”中的违章图斑号按变化图斑编号进行填注，图斑截图在表中的尺寸应缩为15cm×9cm左右（截图原始尺寸可为与15cm×9cm接近等比的尺寸）。“违章图斑信息表”按镇级分类汇总，置于各镇目录下。</w:t>
      </w:r>
    </w:p>
    <w:p>
      <w:pPr>
        <w:numPr>
          <w:ilvl w:val="0"/>
          <w:numId w:val="2"/>
        </w:numPr>
        <w:adjustRightInd w:val="0"/>
        <w:snapToGrid w:val="0"/>
        <w:spacing w:line="324" w:lineRule="auto"/>
        <w:ind w:left="0" w:right="-92" w:rightChars="-44" w:firstLine="420" w:firstLineChars="175"/>
        <w:jc w:val="left"/>
        <w:rPr>
          <w:rFonts w:ascii="Times New Roman" w:hAnsi="Times New Roman"/>
          <w:sz w:val="24"/>
        </w:rPr>
      </w:pPr>
      <w:r>
        <w:rPr>
          <w:rFonts w:ascii="Times New Roman" w:hAnsi="Times New Roman"/>
          <w:sz w:val="24"/>
        </w:rPr>
        <w:t>内业尽量做到逐楼逐户判定，老居民区部分房屋连成片无法分割时，方可综合。为使图斑比对能够全面覆盖，比对时宜按公里格网逐个排查，以免遗漏。</w:t>
      </w:r>
    </w:p>
    <w:p>
      <w:pPr>
        <w:numPr>
          <w:ilvl w:val="0"/>
          <w:numId w:val="2"/>
        </w:numPr>
        <w:adjustRightInd w:val="0"/>
        <w:snapToGrid w:val="0"/>
        <w:spacing w:line="324" w:lineRule="auto"/>
        <w:ind w:left="0" w:firstLine="420" w:firstLineChars="175"/>
        <w:jc w:val="left"/>
        <w:rPr>
          <w:rFonts w:ascii="Times New Roman" w:hAnsi="Times New Roman"/>
          <w:sz w:val="24"/>
        </w:rPr>
      </w:pPr>
      <w:r>
        <w:rPr>
          <w:rFonts w:ascii="Times New Roman" w:hAnsi="Times New Roman"/>
          <w:sz w:val="24"/>
        </w:rPr>
        <w:t>当影像有云影覆盖、高楼遮挡等情形，导致该处区域无法确认是否有新增建设用地图斑时，可不对该区域进行图斑比对。</w:t>
      </w:r>
    </w:p>
    <w:p>
      <w:pPr>
        <w:numPr>
          <w:ilvl w:val="0"/>
          <w:numId w:val="2"/>
        </w:numPr>
        <w:adjustRightInd w:val="0"/>
        <w:snapToGrid w:val="0"/>
        <w:spacing w:line="324" w:lineRule="auto"/>
        <w:ind w:left="0" w:firstLine="420" w:firstLineChars="175"/>
        <w:jc w:val="left"/>
        <w:rPr>
          <w:rFonts w:ascii="Times New Roman" w:hAnsi="Times New Roman"/>
          <w:sz w:val="24"/>
        </w:rPr>
      </w:pPr>
      <w:r>
        <w:rPr>
          <w:rFonts w:ascii="Times New Roman" w:hAnsi="Times New Roman"/>
          <w:sz w:val="24"/>
        </w:rPr>
        <w:t>以镇为单位将每个镇的图斑属性导出为Excel表，置于各镇目录下，按镇级分类汇总，形成汇总Excel报表，交由业主方统计。</w:t>
      </w:r>
    </w:p>
    <w:p>
      <w:pPr>
        <w:keepNext/>
        <w:keepLines/>
        <w:numPr>
          <w:ilvl w:val="1"/>
          <w:numId w:val="0"/>
        </w:numPr>
        <w:adjustRightInd w:val="0"/>
        <w:snapToGrid w:val="0"/>
        <w:spacing w:line="324" w:lineRule="auto"/>
        <w:ind w:left="567" w:hanging="567"/>
        <w:outlineLvl w:val="1"/>
        <w:rPr>
          <w:rFonts w:hint="eastAsia" w:ascii="Times New Roman" w:hAnsi="Times New Roman"/>
          <w:b/>
          <w:bCs/>
          <w:sz w:val="24"/>
        </w:rPr>
      </w:pPr>
      <w:bookmarkStart w:id="4" w:name="_Toc464912728"/>
      <w:r>
        <w:rPr>
          <w:rFonts w:hint="eastAsia" w:ascii="Times New Roman" w:hAnsi="Times New Roman"/>
          <w:b/>
          <w:bCs/>
          <w:sz w:val="24"/>
        </w:rPr>
        <w:t>2、</w:t>
      </w:r>
      <w:r>
        <w:rPr>
          <w:rFonts w:ascii="Times New Roman" w:hAnsi="Times New Roman"/>
          <w:b/>
          <w:bCs/>
          <w:sz w:val="24"/>
        </w:rPr>
        <w:t>外业核实</w:t>
      </w:r>
      <w:bookmarkEnd w:id="4"/>
      <w:bookmarkStart w:id="5" w:name="_Toc464912729"/>
    </w:p>
    <w:p>
      <w:pPr>
        <w:keepNext/>
        <w:keepLines/>
        <w:numPr>
          <w:ilvl w:val="1"/>
          <w:numId w:val="0"/>
        </w:numPr>
        <w:adjustRightInd w:val="0"/>
        <w:snapToGrid w:val="0"/>
        <w:spacing w:line="324" w:lineRule="auto"/>
        <w:ind w:left="567" w:hanging="567"/>
        <w:outlineLvl w:val="1"/>
        <w:rPr>
          <w:rFonts w:ascii="Times New Roman" w:hAnsi="Times New Roman"/>
          <w:b/>
          <w:bCs/>
          <w:sz w:val="24"/>
        </w:rPr>
      </w:pPr>
      <w:r>
        <w:rPr>
          <w:rFonts w:hint="eastAsia" w:ascii="Times New Roman" w:hAnsi="Times New Roman"/>
          <w:b/>
          <w:bCs/>
          <w:sz w:val="24"/>
        </w:rPr>
        <w:t>2.1</w:t>
      </w:r>
      <w:r>
        <w:rPr>
          <w:rFonts w:ascii="Times New Roman" w:hAnsi="Times New Roman"/>
          <w:b/>
          <w:bCs/>
          <w:sz w:val="24"/>
          <w:szCs w:val="21"/>
        </w:rPr>
        <w:t>作业目标</w:t>
      </w:r>
      <w:bookmarkEnd w:id="5"/>
    </w:p>
    <w:p>
      <w:pPr>
        <w:adjustRightInd w:val="0"/>
        <w:snapToGrid w:val="0"/>
        <w:spacing w:line="324" w:lineRule="auto"/>
        <w:ind w:firstLine="480" w:firstLineChars="200"/>
        <w:rPr>
          <w:rFonts w:ascii="Times New Roman" w:hAnsi="Times New Roman"/>
          <w:sz w:val="24"/>
        </w:rPr>
      </w:pPr>
      <w:r>
        <w:rPr>
          <w:rFonts w:ascii="Times New Roman" w:hAnsi="Times New Roman"/>
          <w:sz w:val="24"/>
        </w:rPr>
        <w:t>对图斑比对阶段根据审批材料筛查出的违法占地与违法建设图斑进行外业核实。</w:t>
      </w:r>
    </w:p>
    <w:p>
      <w:pPr>
        <w:keepNext/>
        <w:keepLines/>
        <w:numPr>
          <w:ilvl w:val="2"/>
          <w:numId w:val="0"/>
        </w:numPr>
        <w:adjustRightInd w:val="0"/>
        <w:snapToGrid w:val="0"/>
        <w:spacing w:before="120" w:after="120" w:line="324" w:lineRule="auto"/>
        <w:outlineLvl w:val="2"/>
        <w:rPr>
          <w:rFonts w:ascii="Times New Roman" w:hAnsi="Times New Roman"/>
          <w:b/>
          <w:bCs/>
          <w:sz w:val="24"/>
          <w:szCs w:val="21"/>
        </w:rPr>
      </w:pPr>
      <w:bookmarkStart w:id="6" w:name="_Toc464912730"/>
      <w:r>
        <w:rPr>
          <w:rFonts w:hint="eastAsia" w:ascii="Times New Roman" w:hAnsi="Times New Roman"/>
          <w:b/>
          <w:bCs/>
          <w:sz w:val="24"/>
          <w:szCs w:val="21"/>
        </w:rPr>
        <w:t>2.2</w:t>
      </w:r>
      <w:r>
        <w:rPr>
          <w:rFonts w:ascii="Times New Roman" w:hAnsi="Times New Roman"/>
          <w:b/>
          <w:bCs/>
          <w:sz w:val="24"/>
          <w:szCs w:val="21"/>
        </w:rPr>
        <w:t>作业方法及步骤</w:t>
      </w:r>
      <w:bookmarkEnd w:id="6"/>
    </w:p>
    <w:p>
      <w:pPr>
        <w:numPr>
          <w:ilvl w:val="0"/>
          <w:numId w:val="4"/>
        </w:numPr>
        <w:adjustRightInd w:val="0"/>
        <w:snapToGrid w:val="0"/>
        <w:spacing w:line="324" w:lineRule="auto"/>
        <w:ind w:left="0" w:firstLine="420" w:firstLineChars="175"/>
        <w:jc w:val="left"/>
        <w:rPr>
          <w:rFonts w:ascii="Times New Roman" w:hAnsi="Times New Roman"/>
          <w:sz w:val="24"/>
        </w:rPr>
      </w:pPr>
      <w:r>
        <w:rPr>
          <w:rFonts w:ascii="Times New Roman" w:hAnsi="Times New Roman"/>
          <w:sz w:val="24"/>
        </w:rPr>
        <w:t>收集内业图斑比对阶段筛查出的违章图斑资料。</w:t>
      </w:r>
    </w:p>
    <w:p>
      <w:pPr>
        <w:numPr>
          <w:ilvl w:val="0"/>
          <w:numId w:val="4"/>
        </w:numPr>
        <w:adjustRightInd w:val="0"/>
        <w:snapToGrid w:val="0"/>
        <w:spacing w:line="324" w:lineRule="auto"/>
        <w:ind w:left="0" w:firstLine="420" w:firstLineChars="175"/>
        <w:jc w:val="left"/>
        <w:rPr>
          <w:rFonts w:ascii="Times New Roman" w:hAnsi="Times New Roman"/>
          <w:sz w:val="24"/>
        </w:rPr>
      </w:pPr>
      <w:r>
        <w:rPr>
          <w:rFonts w:ascii="Times New Roman" w:hAnsi="Times New Roman"/>
          <w:sz w:val="24"/>
        </w:rPr>
        <w:t>确定图斑位置，设计巡查路线。</w:t>
      </w:r>
    </w:p>
    <w:p>
      <w:pPr>
        <w:numPr>
          <w:ilvl w:val="0"/>
          <w:numId w:val="4"/>
        </w:numPr>
        <w:adjustRightInd w:val="0"/>
        <w:snapToGrid w:val="0"/>
        <w:spacing w:line="324" w:lineRule="auto"/>
        <w:ind w:left="0" w:firstLine="420" w:firstLineChars="175"/>
        <w:rPr>
          <w:rFonts w:ascii="Times New Roman" w:hAnsi="Times New Roman"/>
          <w:sz w:val="24"/>
        </w:rPr>
      </w:pPr>
      <w:r>
        <w:rPr>
          <w:rFonts w:ascii="Times New Roman" w:hAnsi="Times New Roman"/>
          <w:sz w:val="24"/>
        </w:rPr>
        <w:t>外业实地巡查，对违建进行量测尺寸和拍照取证。</w:t>
      </w:r>
    </w:p>
    <w:p>
      <w:pPr>
        <w:numPr>
          <w:ilvl w:val="0"/>
          <w:numId w:val="4"/>
        </w:numPr>
        <w:adjustRightInd w:val="0"/>
        <w:snapToGrid w:val="0"/>
        <w:spacing w:line="324" w:lineRule="auto"/>
        <w:ind w:left="0" w:firstLine="420" w:firstLineChars="175"/>
        <w:jc w:val="left"/>
        <w:rPr>
          <w:rFonts w:ascii="Times New Roman" w:hAnsi="Times New Roman"/>
          <w:sz w:val="24"/>
        </w:rPr>
      </w:pPr>
      <w:r>
        <w:rPr>
          <w:rFonts w:ascii="Times New Roman" w:hAnsi="Times New Roman"/>
          <w:sz w:val="24"/>
        </w:rPr>
        <w:t>对巡查情况进行记录。</w:t>
      </w:r>
    </w:p>
    <w:p>
      <w:pPr>
        <w:numPr>
          <w:ilvl w:val="0"/>
          <w:numId w:val="4"/>
        </w:numPr>
        <w:adjustRightInd w:val="0"/>
        <w:snapToGrid w:val="0"/>
        <w:spacing w:line="324" w:lineRule="auto"/>
        <w:ind w:left="0" w:firstLine="420" w:firstLineChars="175"/>
        <w:jc w:val="left"/>
        <w:rPr>
          <w:rFonts w:ascii="Times New Roman" w:hAnsi="Times New Roman"/>
          <w:sz w:val="24"/>
        </w:rPr>
      </w:pPr>
      <w:r>
        <w:rPr>
          <w:rFonts w:ascii="Times New Roman" w:hAnsi="Times New Roman"/>
          <w:sz w:val="24"/>
        </w:rPr>
        <w:t>成果资料整理。</w:t>
      </w:r>
    </w:p>
    <w:p>
      <w:pPr>
        <w:keepNext/>
        <w:keepLines/>
        <w:numPr>
          <w:ilvl w:val="2"/>
          <w:numId w:val="0"/>
        </w:numPr>
        <w:adjustRightInd w:val="0"/>
        <w:snapToGrid w:val="0"/>
        <w:spacing w:before="120" w:after="120" w:line="324" w:lineRule="auto"/>
        <w:outlineLvl w:val="2"/>
        <w:rPr>
          <w:rFonts w:ascii="Times New Roman" w:hAnsi="Times New Roman"/>
          <w:b/>
          <w:bCs/>
          <w:sz w:val="24"/>
          <w:szCs w:val="21"/>
        </w:rPr>
      </w:pPr>
      <w:bookmarkStart w:id="7" w:name="_Toc464912731"/>
      <w:r>
        <w:rPr>
          <w:rFonts w:hint="eastAsia" w:ascii="Times New Roman" w:hAnsi="Times New Roman"/>
          <w:b/>
          <w:bCs/>
          <w:sz w:val="24"/>
          <w:szCs w:val="21"/>
        </w:rPr>
        <w:t>2.3</w:t>
      </w:r>
      <w:r>
        <w:rPr>
          <w:rFonts w:ascii="Times New Roman" w:hAnsi="Times New Roman"/>
          <w:b/>
          <w:bCs/>
          <w:sz w:val="24"/>
          <w:szCs w:val="21"/>
        </w:rPr>
        <w:t>筛选合法图斑正面清单</w:t>
      </w:r>
      <w:bookmarkEnd w:id="7"/>
    </w:p>
    <w:p>
      <w:pPr>
        <w:numPr>
          <w:ilvl w:val="0"/>
          <w:numId w:val="5"/>
        </w:numPr>
        <w:adjustRightInd w:val="0"/>
        <w:snapToGrid w:val="0"/>
        <w:spacing w:line="324" w:lineRule="auto"/>
        <w:ind w:left="210" w:firstLine="420"/>
        <w:jc w:val="left"/>
        <w:rPr>
          <w:rFonts w:ascii="Times New Roman" w:hAnsi="Times New Roman"/>
          <w:sz w:val="24"/>
        </w:rPr>
      </w:pPr>
      <w:r>
        <w:rPr>
          <w:rFonts w:ascii="Times New Roman" w:hAnsi="Times New Roman"/>
          <w:sz w:val="24"/>
        </w:rPr>
        <w:t>农田或山地中的临时性的简易房屋（如竹子加石棉瓦等砖木等级以下结构），面积小于50平方米。</w:t>
      </w:r>
    </w:p>
    <w:p>
      <w:pPr>
        <w:numPr>
          <w:ilvl w:val="0"/>
          <w:numId w:val="5"/>
        </w:numPr>
        <w:adjustRightInd w:val="0"/>
        <w:snapToGrid w:val="0"/>
        <w:spacing w:line="324" w:lineRule="auto"/>
        <w:ind w:left="210" w:firstLine="420"/>
        <w:jc w:val="left"/>
        <w:rPr>
          <w:rFonts w:ascii="Times New Roman" w:hAnsi="Times New Roman"/>
          <w:sz w:val="24"/>
        </w:rPr>
      </w:pPr>
      <w:r>
        <w:rPr>
          <w:rFonts w:ascii="Times New Roman" w:hAnsi="Times New Roman"/>
          <w:sz w:val="24"/>
        </w:rPr>
        <w:t>已批建工地内或临近的活动房屋，明显作为施工人员临时生活的场所。</w:t>
      </w:r>
    </w:p>
    <w:p>
      <w:pPr>
        <w:numPr>
          <w:ilvl w:val="0"/>
          <w:numId w:val="5"/>
        </w:numPr>
        <w:adjustRightInd w:val="0"/>
        <w:snapToGrid w:val="0"/>
        <w:spacing w:line="324" w:lineRule="auto"/>
        <w:ind w:left="210" w:firstLine="420"/>
        <w:jc w:val="left"/>
        <w:rPr>
          <w:rFonts w:ascii="Times New Roman" w:hAnsi="Times New Roman"/>
          <w:sz w:val="24"/>
        </w:rPr>
      </w:pPr>
      <w:r>
        <w:rPr>
          <w:rFonts w:ascii="Times New Roman" w:hAnsi="Times New Roman"/>
          <w:sz w:val="24"/>
        </w:rPr>
        <w:t>村庄规划建设用地内的用于公共使用的建构筑物设施（如球场、戏台、停车棚等）。</w:t>
      </w:r>
    </w:p>
    <w:p>
      <w:pPr>
        <w:numPr>
          <w:ilvl w:val="0"/>
          <w:numId w:val="5"/>
        </w:numPr>
        <w:adjustRightInd w:val="0"/>
        <w:snapToGrid w:val="0"/>
        <w:spacing w:line="324" w:lineRule="auto"/>
        <w:ind w:left="210" w:firstLine="420"/>
        <w:jc w:val="left"/>
        <w:rPr>
          <w:rFonts w:ascii="Times New Roman" w:hAnsi="Times New Roman"/>
          <w:sz w:val="24"/>
        </w:rPr>
      </w:pPr>
      <w:r>
        <w:rPr>
          <w:rFonts w:ascii="Times New Roman" w:hAnsi="Times New Roman"/>
          <w:sz w:val="24"/>
        </w:rPr>
        <w:t>大型商业广场内（如SM）的临时性的简易房屋。</w:t>
      </w:r>
    </w:p>
    <w:p>
      <w:pPr>
        <w:numPr>
          <w:ilvl w:val="0"/>
          <w:numId w:val="5"/>
        </w:numPr>
        <w:adjustRightInd w:val="0"/>
        <w:snapToGrid w:val="0"/>
        <w:spacing w:line="324" w:lineRule="auto"/>
        <w:ind w:left="210" w:firstLine="420"/>
        <w:jc w:val="left"/>
        <w:rPr>
          <w:rFonts w:ascii="Times New Roman" w:hAnsi="Times New Roman"/>
          <w:sz w:val="24"/>
        </w:rPr>
      </w:pPr>
      <w:r>
        <w:rPr>
          <w:rFonts w:ascii="Times New Roman" w:hAnsi="Times New Roman"/>
          <w:sz w:val="24"/>
        </w:rPr>
        <w:t>已有的批件资料与实地相符合的建、构筑物。</w:t>
      </w:r>
    </w:p>
    <w:p>
      <w:pPr>
        <w:numPr>
          <w:ilvl w:val="0"/>
          <w:numId w:val="5"/>
        </w:numPr>
        <w:adjustRightInd w:val="0"/>
        <w:snapToGrid w:val="0"/>
        <w:spacing w:line="324" w:lineRule="auto"/>
        <w:ind w:left="210" w:firstLine="420"/>
        <w:jc w:val="left"/>
        <w:rPr>
          <w:rFonts w:ascii="Times New Roman" w:hAnsi="Times New Roman"/>
          <w:sz w:val="24"/>
        </w:rPr>
      </w:pPr>
      <w:r>
        <w:rPr>
          <w:rFonts w:ascii="Times New Roman" w:hAnsi="Times New Roman"/>
          <w:sz w:val="24"/>
        </w:rPr>
        <w:t>采矿区域内或临近的棚屋，明显作为采矿人员临时生活的场所。</w:t>
      </w:r>
    </w:p>
    <w:p>
      <w:pPr>
        <w:numPr>
          <w:ilvl w:val="0"/>
          <w:numId w:val="5"/>
        </w:numPr>
        <w:adjustRightInd w:val="0"/>
        <w:snapToGrid w:val="0"/>
        <w:spacing w:line="324" w:lineRule="auto"/>
        <w:ind w:left="210" w:firstLine="420"/>
        <w:jc w:val="left"/>
        <w:rPr>
          <w:rFonts w:hint="eastAsia" w:ascii="宋体" w:hAnsi="宋体" w:cs="宋体"/>
          <w:sz w:val="22"/>
          <w:szCs w:val="22"/>
          <w:shd w:val="clear" w:color="auto" w:fill="FFFFFF"/>
        </w:rPr>
      </w:pPr>
      <w:r>
        <w:rPr>
          <w:rFonts w:ascii="Times New Roman" w:hAnsi="Times New Roman"/>
          <w:sz w:val="24"/>
        </w:rPr>
        <w:t>大规模养殖场内的牲口棚。</w:t>
      </w:r>
    </w:p>
    <w:p>
      <w:bookmarkStart w:id="8" w:name="_GoBack"/>
      <w:bookmarkEnd w:id="8"/>
    </w:p>
    <w:sectPr>
      <w:pgSz w:w="11906" w:h="16838"/>
      <w:pgMar w:top="1383" w:right="1689" w:bottom="1383"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en Sans">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93E4B"/>
    <w:multiLevelType w:val="multilevel"/>
    <w:tmpl w:val="01B93E4B"/>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57D3BDF"/>
    <w:multiLevelType w:val="multilevel"/>
    <w:tmpl w:val="357D3BDF"/>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33850DE"/>
    <w:multiLevelType w:val="multilevel"/>
    <w:tmpl w:val="533850DE"/>
    <w:lvl w:ilvl="0" w:tentative="0">
      <w:start w:val="1"/>
      <w:numFmt w:val="decimal"/>
      <w:suff w:val="nothing"/>
      <w:lvlText w:val="（%1）"/>
      <w:lvlJc w:val="left"/>
      <w:pPr>
        <w:ind w:left="-60" w:hanging="420"/>
      </w:pPr>
      <w:rPr>
        <w:rFonts w:hint="eastAsia"/>
      </w:rPr>
    </w:lvl>
    <w:lvl w:ilvl="1" w:tentative="0">
      <w:start w:val="1"/>
      <w:numFmt w:val="lowerLetter"/>
      <w:lvlText w:val="%2)"/>
      <w:lvlJc w:val="left"/>
      <w:pPr>
        <w:ind w:left="360" w:hanging="420"/>
      </w:pPr>
    </w:lvl>
    <w:lvl w:ilvl="2" w:tentative="0">
      <w:start w:val="1"/>
      <w:numFmt w:val="lowerRoman"/>
      <w:lvlText w:val="%3."/>
      <w:lvlJc w:val="right"/>
      <w:pPr>
        <w:ind w:left="780" w:hanging="420"/>
      </w:pPr>
    </w:lvl>
    <w:lvl w:ilvl="3" w:tentative="0">
      <w:start w:val="1"/>
      <w:numFmt w:val="decimal"/>
      <w:lvlText w:val="%4."/>
      <w:lvlJc w:val="left"/>
      <w:pPr>
        <w:ind w:left="1200" w:hanging="420"/>
      </w:pPr>
    </w:lvl>
    <w:lvl w:ilvl="4" w:tentative="0">
      <w:start w:val="1"/>
      <w:numFmt w:val="lowerLetter"/>
      <w:lvlText w:val="%5)"/>
      <w:lvlJc w:val="left"/>
      <w:pPr>
        <w:ind w:left="1620" w:hanging="420"/>
      </w:pPr>
    </w:lvl>
    <w:lvl w:ilvl="5" w:tentative="0">
      <w:start w:val="1"/>
      <w:numFmt w:val="lowerRoman"/>
      <w:lvlText w:val="%6."/>
      <w:lvlJc w:val="right"/>
      <w:pPr>
        <w:ind w:left="2040" w:hanging="420"/>
      </w:pPr>
    </w:lvl>
    <w:lvl w:ilvl="6" w:tentative="0">
      <w:start w:val="1"/>
      <w:numFmt w:val="decimal"/>
      <w:lvlText w:val="%7."/>
      <w:lvlJc w:val="left"/>
      <w:pPr>
        <w:ind w:left="2460" w:hanging="420"/>
      </w:pPr>
    </w:lvl>
    <w:lvl w:ilvl="7" w:tentative="0">
      <w:start w:val="1"/>
      <w:numFmt w:val="lowerLetter"/>
      <w:lvlText w:val="%8)"/>
      <w:lvlJc w:val="left"/>
      <w:pPr>
        <w:ind w:left="2880" w:hanging="420"/>
      </w:pPr>
    </w:lvl>
    <w:lvl w:ilvl="8" w:tentative="0">
      <w:start w:val="1"/>
      <w:numFmt w:val="lowerRoman"/>
      <w:lvlText w:val="%9."/>
      <w:lvlJc w:val="right"/>
      <w:pPr>
        <w:ind w:left="3300" w:hanging="420"/>
      </w:pPr>
    </w:lvl>
  </w:abstractNum>
  <w:abstractNum w:abstractNumId="3">
    <w:nsid w:val="573013D7"/>
    <w:multiLevelType w:val="multilevel"/>
    <w:tmpl w:val="573013D7"/>
    <w:lvl w:ilvl="0" w:tentative="0">
      <w:start w:val="1"/>
      <w:numFmt w:val="decimal"/>
      <w:suff w:val="nothing"/>
      <w:lvlText w:val="（%1）"/>
      <w:lvlJc w:val="left"/>
      <w:pPr>
        <w:ind w:left="840" w:hanging="420"/>
      </w:pPr>
      <w:rPr>
        <w:rFonts w:hint="eastAsia"/>
      </w:rPr>
    </w:lvl>
    <w:lvl w:ilvl="1" w:tentative="0">
      <w:start w:val="1"/>
      <w:numFmt w:val="bullet"/>
      <w:lvlText w:val=""/>
      <w:lvlJc w:val="left"/>
      <w:pPr>
        <w:ind w:left="1260" w:hanging="420"/>
      </w:pPr>
      <w:rPr>
        <w:rFonts w:hint="default" w:ascii="Wingdings" w:hAnsi="Wingdings"/>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B063DA2"/>
    <w:multiLevelType w:val="multilevel"/>
    <w:tmpl w:val="5B063DA2"/>
    <w:lvl w:ilvl="0" w:tentative="0">
      <w:start w:val="1"/>
      <w:numFmt w:val="decimal"/>
      <w:suff w:val="nothing"/>
      <w:lvlText w:val="（%1）"/>
      <w:lvlJc w:val="left"/>
      <w:pPr>
        <w:ind w:left="105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GUzZmRkMjhjNjM0MWVlNWM5ZjY3OTJjZDc2NTcifQ=="/>
  </w:docVars>
  <w:rsids>
    <w:rsidRoot w:val="15AC26E4"/>
    <w:rsid w:val="0768045D"/>
    <w:rsid w:val="0EBB3568"/>
    <w:rsid w:val="15AC26E4"/>
    <w:rsid w:val="19137F58"/>
    <w:rsid w:val="2DE31551"/>
    <w:rsid w:val="5E271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2023-01-04T07:43:00Z</dcterms:created>
  <dc:creator>许业辉</dc:creator>
  <cp:lastModifiedBy>May</cp:lastModifiedBy>
  <dcterms:modified xsi:type="dcterms:W3CDTF">2023-12-15T09:37:57Z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05250BBDE50542C2848865B968ECE1B1</vt:lpwstr>
  </property>
</Properties>
</file>